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8D6F0A" w:rsidP="008D6F0A">
      <w:pPr>
        <w:pStyle w:val="NoSpacing"/>
        <w:jc w:val="center"/>
        <w:rPr>
          <w:rFonts w:ascii="Arial" w:hAnsi="Arial" w:cs="Arial"/>
          <w:b/>
          <w:sz w:val="28"/>
          <w:szCs w:val="28"/>
        </w:rPr>
      </w:pPr>
      <w:r>
        <w:rPr>
          <w:rFonts w:ascii="Arial" w:hAnsi="Arial" w:cs="Arial"/>
          <w:b/>
          <w:sz w:val="28"/>
          <w:szCs w:val="28"/>
        </w:rPr>
        <w:t>UIL ACCOUNTING</w:t>
      </w:r>
    </w:p>
    <w:p w:rsidR="008D6F0A" w:rsidRDefault="008D6F0A" w:rsidP="008D6F0A">
      <w:pPr>
        <w:pStyle w:val="NoSpacing"/>
        <w:jc w:val="center"/>
        <w:rPr>
          <w:rFonts w:ascii="Arial" w:hAnsi="Arial" w:cs="Arial"/>
          <w:b/>
          <w:sz w:val="24"/>
          <w:szCs w:val="24"/>
        </w:rPr>
      </w:pPr>
      <w:r>
        <w:rPr>
          <w:rFonts w:ascii="Arial" w:hAnsi="Arial" w:cs="Arial"/>
          <w:b/>
          <w:sz w:val="24"/>
          <w:szCs w:val="24"/>
        </w:rPr>
        <w:t>State 2016-S</w:t>
      </w:r>
    </w:p>
    <w:p w:rsidR="008D6F0A" w:rsidRDefault="008D6F0A" w:rsidP="008D6F0A">
      <w:pPr>
        <w:pStyle w:val="NoSpacing"/>
        <w:rPr>
          <w:rFonts w:ascii="Arial" w:hAnsi="Arial" w:cs="Arial"/>
          <w:b/>
          <w:sz w:val="24"/>
          <w:szCs w:val="24"/>
        </w:rPr>
      </w:pPr>
    </w:p>
    <w:p w:rsidR="008D6F0A" w:rsidRPr="0020341F" w:rsidRDefault="008D6F0A" w:rsidP="008D6F0A">
      <w:pPr>
        <w:pStyle w:val="NoSpacing"/>
        <w:rPr>
          <w:rFonts w:ascii="Arial" w:hAnsi="Arial" w:cs="Arial"/>
          <w:b/>
          <w:sz w:val="24"/>
          <w:szCs w:val="24"/>
          <w:u w:val="single"/>
        </w:rPr>
      </w:pPr>
      <w:r w:rsidRPr="0020341F">
        <w:rPr>
          <w:rFonts w:ascii="Arial" w:hAnsi="Arial" w:cs="Arial"/>
          <w:b/>
          <w:sz w:val="24"/>
          <w:szCs w:val="24"/>
          <w:u w:val="single"/>
        </w:rPr>
        <w:t>Group 1</w:t>
      </w:r>
    </w:p>
    <w:p w:rsidR="0020341F" w:rsidRPr="004435A1" w:rsidRDefault="0020341F" w:rsidP="0020341F">
      <w:pPr>
        <w:jc w:val="both"/>
        <w:rPr>
          <w:b/>
        </w:rPr>
      </w:pPr>
      <w:r w:rsidRPr="004435A1">
        <w:rPr>
          <w:b/>
        </w:rPr>
        <w:t>For questions 1 through 1</w:t>
      </w:r>
      <w:r>
        <w:rPr>
          <w:b/>
        </w:rPr>
        <w:t>4</w:t>
      </w:r>
      <w:r w:rsidRPr="004435A1">
        <w:rPr>
          <w:b/>
        </w:rPr>
        <w:t xml:space="preserve">, write on your answer sheet how each </w:t>
      </w:r>
      <w:r>
        <w:rPr>
          <w:b/>
        </w:rPr>
        <w:t>item</w:t>
      </w:r>
      <w:r w:rsidRPr="004435A1">
        <w:rPr>
          <w:b/>
        </w:rPr>
        <w:t xml:space="preserve"> is closed (or not closed) at the end of the fiscal year using the following code</w:t>
      </w:r>
      <w:r>
        <w:rPr>
          <w:b/>
        </w:rPr>
        <w:t xml:space="preserve"> (do </w:t>
      </w:r>
      <w:r w:rsidRPr="00D06E1D">
        <w:rPr>
          <w:b/>
          <w:u w:val="single"/>
        </w:rPr>
        <w:t>not</w:t>
      </w:r>
      <w:r>
        <w:rPr>
          <w:b/>
        </w:rPr>
        <w:t xml:space="preserve"> substitute any letter or word for the codes DR, CR, NC)</w:t>
      </w:r>
      <w:r w:rsidRPr="004435A1">
        <w:rPr>
          <w:b/>
        </w:rPr>
        <w:t>:</w:t>
      </w:r>
      <w:r w:rsidRPr="004435A1">
        <w:rPr>
          <w:b/>
        </w:rPr>
        <w:tab/>
      </w:r>
    </w:p>
    <w:p w:rsidR="0020341F" w:rsidRPr="00E17391" w:rsidRDefault="0020341F" w:rsidP="0020341F">
      <w:pPr>
        <w:rPr>
          <w:b/>
          <w:sz w:val="16"/>
          <w:szCs w:val="16"/>
        </w:rPr>
      </w:pPr>
    </w:p>
    <w:tbl>
      <w:tblPr>
        <w:tblStyle w:val="TableGrid"/>
        <w:tblW w:w="0" w:type="auto"/>
        <w:tblInd w:w="1008" w:type="dxa"/>
        <w:tblLayout w:type="fixed"/>
        <w:tblLook w:val="04A0" w:firstRow="1" w:lastRow="0" w:firstColumn="1" w:lastColumn="0" w:noHBand="0" w:noVBand="1"/>
      </w:tblPr>
      <w:tblGrid>
        <w:gridCol w:w="563"/>
        <w:gridCol w:w="337"/>
        <w:gridCol w:w="6300"/>
      </w:tblGrid>
      <w:tr w:rsidR="0020341F" w:rsidTr="003A5E33">
        <w:tc>
          <w:tcPr>
            <w:tcW w:w="563" w:type="dxa"/>
            <w:shd w:val="clear" w:color="auto" w:fill="D9D9D9" w:themeFill="background1" w:themeFillShade="D9"/>
          </w:tcPr>
          <w:p w:rsidR="0020341F" w:rsidRDefault="0020341F" w:rsidP="003A5E33">
            <w:pPr>
              <w:rPr>
                <w:b/>
              </w:rPr>
            </w:pPr>
            <w:r>
              <w:rPr>
                <w:b/>
              </w:rPr>
              <w:t>DR</w:t>
            </w:r>
          </w:p>
        </w:tc>
        <w:tc>
          <w:tcPr>
            <w:tcW w:w="337" w:type="dxa"/>
            <w:vAlign w:val="center"/>
          </w:tcPr>
          <w:p w:rsidR="0020341F" w:rsidRPr="00D06E1D" w:rsidRDefault="0020341F" w:rsidP="003A5E33">
            <w:r w:rsidRPr="00D06E1D">
              <w:t>=</w:t>
            </w:r>
          </w:p>
        </w:tc>
        <w:tc>
          <w:tcPr>
            <w:tcW w:w="6300" w:type="dxa"/>
          </w:tcPr>
          <w:p w:rsidR="0020341F" w:rsidRDefault="0020341F" w:rsidP="003A5E33">
            <w:pPr>
              <w:rPr>
                <w:b/>
              </w:rPr>
            </w:pPr>
            <w:r>
              <w:rPr>
                <w:b/>
              </w:rPr>
              <w:t>close the account with a debit</w:t>
            </w:r>
          </w:p>
        </w:tc>
      </w:tr>
      <w:tr w:rsidR="0020341F" w:rsidTr="003A5E33">
        <w:tc>
          <w:tcPr>
            <w:tcW w:w="563" w:type="dxa"/>
            <w:shd w:val="clear" w:color="auto" w:fill="D9D9D9" w:themeFill="background1" w:themeFillShade="D9"/>
          </w:tcPr>
          <w:p w:rsidR="0020341F" w:rsidRDefault="0020341F" w:rsidP="003A5E33">
            <w:pPr>
              <w:rPr>
                <w:b/>
              </w:rPr>
            </w:pPr>
            <w:r>
              <w:rPr>
                <w:b/>
              </w:rPr>
              <w:t>CR</w:t>
            </w:r>
          </w:p>
        </w:tc>
        <w:tc>
          <w:tcPr>
            <w:tcW w:w="337" w:type="dxa"/>
            <w:vAlign w:val="center"/>
          </w:tcPr>
          <w:p w:rsidR="0020341F" w:rsidRPr="00D06E1D" w:rsidRDefault="0020341F" w:rsidP="003A5E33">
            <w:r w:rsidRPr="00D06E1D">
              <w:t>=</w:t>
            </w:r>
          </w:p>
        </w:tc>
        <w:tc>
          <w:tcPr>
            <w:tcW w:w="6300" w:type="dxa"/>
          </w:tcPr>
          <w:p w:rsidR="0020341F" w:rsidRDefault="0020341F" w:rsidP="003A5E33">
            <w:pPr>
              <w:rPr>
                <w:b/>
              </w:rPr>
            </w:pPr>
            <w:r>
              <w:rPr>
                <w:b/>
              </w:rPr>
              <w:t xml:space="preserve">close the account with a credit </w:t>
            </w:r>
          </w:p>
        </w:tc>
      </w:tr>
      <w:tr w:rsidR="0020341F" w:rsidTr="003A5E33">
        <w:tc>
          <w:tcPr>
            <w:tcW w:w="563" w:type="dxa"/>
            <w:shd w:val="clear" w:color="auto" w:fill="D9D9D9" w:themeFill="background1" w:themeFillShade="D9"/>
          </w:tcPr>
          <w:p w:rsidR="0020341F" w:rsidRDefault="0020341F" w:rsidP="003A5E33">
            <w:pPr>
              <w:rPr>
                <w:b/>
              </w:rPr>
            </w:pPr>
            <w:r>
              <w:rPr>
                <w:b/>
              </w:rPr>
              <w:t>NC</w:t>
            </w:r>
          </w:p>
        </w:tc>
        <w:tc>
          <w:tcPr>
            <w:tcW w:w="337" w:type="dxa"/>
            <w:vAlign w:val="center"/>
          </w:tcPr>
          <w:p w:rsidR="0020341F" w:rsidRPr="00D06E1D" w:rsidRDefault="0020341F" w:rsidP="003A5E33">
            <w:r w:rsidRPr="00D06E1D">
              <w:t>=</w:t>
            </w:r>
          </w:p>
        </w:tc>
        <w:tc>
          <w:tcPr>
            <w:tcW w:w="6300" w:type="dxa"/>
          </w:tcPr>
          <w:p w:rsidR="0020341F" w:rsidRDefault="0020341F" w:rsidP="003A5E33">
            <w:pPr>
              <w:rPr>
                <w:b/>
              </w:rPr>
            </w:pPr>
            <w:r>
              <w:rPr>
                <w:b/>
              </w:rPr>
              <w:t>this item is either not closed OR it is not an account</w:t>
            </w:r>
          </w:p>
        </w:tc>
      </w:tr>
    </w:tbl>
    <w:p w:rsidR="0020341F" w:rsidRPr="00E17391" w:rsidRDefault="0020341F" w:rsidP="0020341F">
      <w:pPr>
        <w:rPr>
          <w:b/>
          <w:sz w:val="16"/>
          <w:szCs w:val="16"/>
        </w:rPr>
      </w:pPr>
    </w:p>
    <w:p w:rsidR="0020341F" w:rsidRDefault="0020341F" w:rsidP="0020341F"/>
    <w:p w:rsidR="0020341F" w:rsidRDefault="0020341F" w:rsidP="0020341F">
      <w:r>
        <w:t>1. Preferred Stock</w:t>
      </w:r>
      <w:r>
        <w:tab/>
      </w:r>
      <w:r>
        <w:tab/>
      </w:r>
      <w:r>
        <w:tab/>
      </w:r>
      <w:r>
        <w:tab/>
        <w:t xml:space="preserve">  8. Property Taxes Payable</w:t>
      </w:r>
    </w:p>
    <w:p w:rsidR="0020341F" w:rsidRDefault="0020341F" w:rsidP="0020341F">
      <w:r>
        <w:t>2. Gain on Plant Assets</w:t>
      </w:r>
      <w:r>
        <w:tab/>
      </w:r>
      <w:r>
        <w:tab/>
      </w:r>
      <w:r>
        <w:tab/>
        <w:t xml:space="preserve">  9. Allowance for Uncollectible Accounts</w:t>
      </w:r>
    </w:p>
    <w:p w:rsidR="0020341F" w:rsidRDefault="0020341F" w:rsidP="0020341F">
      <w:r>
        <w:t>3. Interest Receivable</w:t>
      </w:r>
      <w:r>
        <w:tab/>
      </w:r>
      <w:r>
        <w:tab/>
      </w:r>
      <w:r>
        <w:tab/>
        <w:t xml:space="preserve">10. Retained Earnings </w:t>
      </w:r>
    </w:p>
    <w:p w:rsidR="0020341F" w:rsidRDefault="0020341F" w:rsidP="0020341F">
      <w:r>
        <w:t>4. Bad Debts Expense</w:t>
      </w:r>
      <w:r>
        <w:tab/>
      </w:r>
      <w:r>
        <w:tab/>
      </w:r>
      <w:r>
        <w:tab/>
        <w:t>11. Unearned Revenue</w:t>
      </w:r>
    </w:p>
    <w:p w:rsidR="0020341F" w:rsidRDefault="0020341F" w:rsidP="0020341F">
      <w:r>
        <w:t xml:space="preserve">5. Transportation </w:t>
      </w:r>
      <w:proofErr w:type="gramStart"/>
      <w:r>
        <w:t>In</w:t>
      </w:r>
      <w:proofErr w:type="gramEnd"/>
      <w:r>
        <w:tab/>
      </w:r>
      <w:r>
        <w:tab/>
      </w:r>
      <w:r>
        <w:tab/>
      </w:r>
      <w:r>
        <w:tab/>
        <w:t>12. Uncollectible Accounts Expense</w:t>
      </w:r>
    </w:p>
    <w:p w:rsidR="0020341F" w:rsidRDefault="0020341F" w:rsidP="0020341F">
      <w:r>
        <w:t>6. Purchases Discounts</w:t>
      </w:r>
      <w:r>
        <w:tab/>
      </w:r>
      <w:r>
        <w:tab/>
      </w:r>
      <w:r>
        <w:tab/>
        <w:t>13. Paid-in Capital in Excess of Par—Common</w:t>
      </w:r>
    </w:p>
    <w:p w:rsidR="0020341F" w:rsidRDefault="0020341F" w:rsidP="0020341F">
      <w:r>
        <w:t>7. Interest Income</w:t>
      </w:r>
      <w:r>
        <w:tab/>
      </w:r>
      <w:r>
        <w:tab/>
      </w:r>
      <w:r>
        <w:tab/>
      </w:r>
      <w:r>
        <w:tab/>
        <w:t xml:space="preserve">14. Dividends—Common </w:t>
      </w:r>
    </w:p>
    <w:p w:rsidR="008D6F0A" w:rsidRDefault="008D6F0A" w:rsidP="008D6F0A">
      <w:pPr>
        <w:pStyle w:val="NoSpacing"/>
        <w:rPr>
          <w:rFonts w:ascii="Arial" w:hAnsi="Arial" w:cs="Arial"/>
          <w:b/>
          <w:sz w:val="24"/>
          <w:szCs w:val="24"/>
        </w:rPr>
      </w:pPr>
    </w:p>
    <w:p w:rsidR="000558D8" w:rsidRDefault="000558D8" w:rsidP="008D6F0A">
      <w:pPr>
        <w:pStyle w:val="NoSpacing"/>
        <w:rPr>
          <w:rFonts w:ascii="Arial" w:hAnsi="Arial" w:cs="Arial"/>
          <w:b/>
          <w:sz w:val="24"/>
          <w:szCs w:val="24"/>
        </w:rPr>
      </w:pPr>
    </w:p>
    <w:p w:rsidR="0020341F" w:rsidRPr="006675C8" w:rsidRDefault="0020341F" w:rsidP="008D6F0A">
      <w:pPr>
        <w:pStyle w:val="NoSpacing"/>
        <w:rPr>
          <w:rFonts w:ascii="Arial" w:hAnsi="Arial" w:cs="Arial"/>
          <w:b/>
          <w:sz w:val="24"/>
          <w:szCs w:val="24"/>
          <w:u w:val="single"/>
        </w:rPr>
      </w:pPr>
      <w:r w:rsidRPr="006675C8">
        <w:rPr>
          <w:rFonts w:ascii="Arial" w:hAnsi="Arial" w:cs="Arial"/>
          <w:b/>
          <w:sz w:val="24"/>
          <w:szCs w:val="24"/>
          <w:u w:val="single"/>
        </w:rPr>
        <w:t>Group 2</w:t>
      </w:r>
    </w:p>
    <w:p w:rsidR="005B4886" w:rsidRDefault="005B4886" w:rsidP="005B4886">
      <w:pPr>
        <w:jc w:val="both"/>
        <w:rPr>
          <w:b/>
        </w:rPr>
      </w:pPr>
      <w:r>
        <w:rPr>
          <w:b/>
        </w:rPr>
        <w:t>On January 5, 2015 Catwalk, Inc.</w:t>
      </w:r>
      <w:r w:rsidRPr="00195B7B">
        <w:rPr>
          <w:b/>
        </w:rPr>
        <w:t xml:space="preserve"> was </w:t>
      </w:r>
      <w:r>
        <w:rPr>
          <w:b/>
        </w:rPr>
        <w:t>organized and authorized to issue</w:t>
      </w:r>
      <w:r w:rsidRPr="00195B7B">
        <w:rPr>
          <w:b/>
        </w:rPr>
        <w:t xml:space="preserve"> </w:t>
      </w:r>
      <w:r>
        <w:rPr>
          <w:b/>
        </w:rPr>
        <w:t>10,000</w:t>
      </w:r>
      <w:r w:rsidRPr="00195B7B">
        <w:rPr>
          <w:b/>
        </w:rPr>
        <w:t xml:space="preserve"> shares of $</w:t>
      </w:r>
      <w:r>
        <w:rPr>
          <w:b/>
        </w:rPr>
        <w:t>18</w:t>
      </w:r>
      <w:r w:rsidRPr="00195B7B">
        <w:rPr>
          <w:b/>
        </w:rPr>
        <w:t xml:space="preserve"> par common stock and </w:t>
      </w:r>
      <w:r>
        <w:rPr>
          <w:b/>
        </w:rPr>
        <w:t>900</w:t>
      </w:r>
      <w:r w:rsidRPr="00195B7B">
        <w:rPr>
          <w:b/>
        </w:rPr>
        <w:t xml:space="preserve"> shares of</w:t>
      </w:r>
      <w:r>
        <w:rPr>
          <w:b/>
        </w:rPr>
        <w:t xml:space="preserve"> $100 par, p</w:t>
      </w:r>
      <w:r w:rsidRPr="00195B7B">
        <w:rPr>
          <w:b/>
        </w:rPr>
        <w:t>referred</w:t>
      </w:r>
      <w:r>
        <w:rPr>
          <w:b/>
        </w:rPr>
        <w:t xml:space="preserve"> 5%</w:t>
      </w:r>
      <w:r w:rsidRPr="00195B7B">
        <w:rPr>
          <w:b/>
        </w:rPr>
        <w:t xml:space="preserve"> stock.</w:t>
      </w:r>
    </w:p>
    <w:p w:rsidR="005B4886" w:rsidRDefault="005B4886" w:rsidP="005B4886">
      <w:pPr>
        <w:jc w:val="both"/>
        <w:rPr>
          <w:b/>
        </w:rPr>
      </w:pPr>
    </w:p>
    <w:p w:rsidR="005B4886" w:rsidRDefault="005B4886" w:rsidP="005B4886">
      <w:pPr>
        <w:jc w:val="both"/>
        <w:rPr>
          <w:b/>
        </w:rPr>
      </w:pPr>
      <w:r>
        <w:rPr>
          <w:b/>
        </w:rPr>
        <w:t>The company prepares adjusting and closing entries only at the fiscal year end which is December 31.  The company prepares a Balance Sheet, Income Statement, and Statement of Stockholders’ Equity annually.</w:t>
      </w:r>
    </w:p>
    <w:p w:rsidR="005B4886" w:rsidRDefault="005B4886" w:rsidP="005B4886">
      <w:pPr>
        <w:jc w:val="both"/>
        <w:rPr>
          <w:b/>
        </w:rPr>
      </w:pPr>
    </w:p>
    <w:p w:rsidR="005B4886" w:rsidRDefault="005B4886" w:rsidP="005B4886">
      <w:pPr>
        <w:jc w:val="both"/>
        <w:rPr>
          <w:b/>
        </w:rPr>
      </w:pPr>
      <w:r w:rsidRPr="00195B7B">
        <w:rPr>
          <w:b/>
        </w:rPr>
        <w:t xml:space="preserve">In January </w:t>
      </w:r>
      <w:r>
        <w:rPr>
          <w:b/>
        </w:rPr>
        <w:t>2,000</w:t>
      </w:r>
      <w:r w:rsidRPr="00195B7B">
        <w:rPr>
          <w:b/>
        </w:rPr>
        <w:t xml:space="preserve"> shares of common stock were </w:t>
      </w:r>
      <w:r>
        <w:rPr>
          <w:b/>
        </w:rPr>
        <w:t>issued</w:t>
      </w:r>
      <w:r w:rsidRPr="00195B7B">
        <w:rPr>
          <w:b/>
        </w:rPr>
        <w:t xml:space="preserve"> at par, </w:t>
      </w:r>
      <w:r>
        <w:rPr>
          <w:b/>
        </w:rPr>
        <w:t>1,800</w:t>
      </w:r>
      <w:r w:rsidRPr="00195B7B">
        <w:rPr>
          <w:b/>
        </w:rPr>
        <w:t xml:space="preserve"> shares of common stock were </w:t>
      </w:r>
      <w:r>
        <w:rPr>
          <w:b/>
        </w:rPr>
        <w:t>issued</w:t>
      </w:r>
      <w:r w:rsidRPr="00195B7B">
        <w:rPr>
          <w:b/>
        </w:rPr>
        <w:t xml:space="preserve"> at $</w:t>
      </w:r>
      <w:r>
        <w:rPr>
          <w:b/>
        </w:rPr>
        <w:t>20</w:t>
      </w:r>
      <w:r w:rsidRPr="00195B7B">
        <w:rPr>
          <w:b/>
        </w:rPr>
        <w:t xml:space="preserve">, and </w:t>
      </w:r>
      <w:r>
        <w:rPr>
          <w:b/>
        </w:rPr>
        <w:t>200</w:t>
      </w:r>
      <w:r w:rsidRPr="00195B7B">
        <w:rPr>
          <w:b/>
        </w:rPr>
        <w:t xml:space="preserve"> shares of preferred stock were </w:t>
      </w:r>
      <w:r>
        <w:rPr>
          <w:b/>
        </w:rPr>
        <w:t>issued</w:t>
      </w:r>
      <w:r w:rsidRPr="00195B7B">
        <w:rPr>
          <w:b/>
        </w:rPr>
        <w:t xml:space="preserve"> at $</w:t>
      </w:r>
      <w:r>
        <w:rPr>
          <w:b/>
        </w:rPr>
        <w:t>100</w:t>
      </w:r>
      <w:r w:rsidRPr="00195B7B">
        <w:rPr>
          <w:b/>
        </w:rPr>
        <w:t>.</w:t>
      </w:r>
    </w:p>
    <w:p w:rsidR="005B4886" w:rsidRDefault="005B4886" w:rsidP="005B4886">
      <w:pPr>
        <w:jc w:val="both"/>
        <w:rPr>
          <w:b/>
        </w:rPr>
      </w:pPr>
    </w:p>
    <w:p w:rsidR="005B4886" w:rsidRDefault="005B4886" w:rsidP="005B4886">
      <w:pPr>
        <w:jc w:val="both"/>
        <w:rPr>
          <w:b/>
        </w:rPr>
      </w:pPr>
      <w:r w:rsidRPr="00195B7B">
        <w:rPr>
          <w:b/>
        </w:rPr>
        <w:t>The company earned $</w:t>
      </w:r>
      <w:r>
        <w:rPr>
          <w:b/>
        </w:rPr>
        <w:t>64,540</w:t>
      </w:r>
      <w:r w:rsidRPr="00195B7B">
        <w:rPr>
          <w:b/>
        </w:rPr>
        <w:t xml:space="preserve"> in net income in </w:t>
      </w:r>
      <w:r>
        <w:rPr>
          <w:b/>
        </w:rPr>
        <w:t>2015</w:t>
      </w:r>
      <w:r w:rsidRPr="00195B7B">
        <w:rPr>
          <w:b/>
        </w:rPr>
        <w:t xml:space="preserve">.  On December </w:t>
      </w:r>
      <w:r>
        <w:rPr>
          <w:b/>
        </w:rPr>
        <w:t>20</w:t>
      </w:r>
      <w:r w:rsidRPr="00195B7B">
        <w:rPr>
          <w:b/>
        </w:rPr>
        <w:t xml:space="preserve">, </w:t>
      </w:r>
      <w:r>
        <w:rPr>
          <w:b/>
        </w:rPr>
        <w:t>2015</w:t>
      </w:r>
      <w:r w:rsidRPr="00195B7B">
        <w:rPr>
          <w:b/>
        </w:rPr>
        <w:t xml:space="preserve"> the board of directors declared an annual dividend of $</w:t>
      </w:r>
      <w:r>
        <w:rPr>
          <w:b/>
        </w:rPr>
        <w:t>10,120</w:t>
      </w:r>
      <w:r w:rsidRPr="00195B7B">
        <w:rPr>
          <w:b/>
        </w:rPr>
        <w:t xml:space="preserve"> for both preferred and common shareholders to be paid by March 15, </w:t>
      </w:r>
      <w:r>
        <w:rPr>
          <w:b/>
        </w:rPr>
        <w:t>2016</w:t>
      </w:r>
      <w:r w:rsidRPr="00195B7B">
        <w:rPr>
          <w:b/>
        </w:rPr>
        <w:t>.</w:t>
      </w:r>
    </w:p>
    <w:p w:rsidR="005B4886" w:rsidRDefault="005B4886" w:rsidP="005B4886">
      <w:pPr>
        <w:jc w:val="both"/>
        <w:rPr>
          <w:b/>
        </w:rPr>
      </w:pPr>
    </w:p>
    <w:p w:rsidR="005B4886" w:rsidRDefault="005B4886" w:rsidP="005B4886">
      <w:pPr>
        <w:jc w:val="both"/>
        <w:rPr>
          <w:b/>
        </w:rPr>
      </w:pPr>
      <w:r>
        <w:rPr>
          <w:b/>
        </w:rPr>
        <w:t xml:space="preserve">For questions </w:t>
      </w:r>
      <w:r w:rsidR="005D63F4">
        <w:rPr>
          <w:b/>
        </w:rPr>
        <w:t>1</w:t>
      </w:r>
      <w:r>
        <w:rPr>
          <w:b/>
        </w:rPr>
        <w:t xml:space="preserve">5 through </w:t>
      </w:r>
      <w:r w:rsidR="005D63F4">
        <w:rPr>
          <w:b/>
        </w:rPr>
        <w:t>1</w:t>
      </w:r>
      <w:r>
        <w:rPr>
          <w:b/>
        </w:rPr>
        <w:t>8 write the correct amount or number on your answer sheet.</w:t>
      </w:r>
    </w:p>
    <w:p w:rsidR="005B4886" w:rsidRDefault="005B4886" w:rsidP="005B4886">
      <w:pPr>
        <w:jc w:val="both"/>
        <w:rPr>
          <w:b/>
        </w:rPr>
      </w:pPr>
    </w:p>
    <w:p w:rsidR="005B4886" w:rsidRDefault="005D63F4" w:rsidP="004C7857">
      <w:pPr>
        <w:jc w:val="both"/>
      </w:pPr>
      <w:r>
        <w:t>1</w:t>
      </w:r>
      <w:r w:rsidR="005B4886">
        <w:t>5. Of the total dividends declared, what amount per share is available to the common</w:t>
      </w:r>
    </w:p>
    <w:p w:rsidR="005B4886" w:rsidRPr="00E90D9D" w:rsidRDefault="005B4886" w:rsidP="005B4886">
      <w:pPr>
        <w:jc w:val="both"/>
      </w:pPr>
      <w:r>
        <w:t xml:space="preserve">    </w:t>
      </w:r>
      <w:r>
        <w:tab/>
      </w:r>
      <w:proofErr w:type="gramStart"/>
      <w:r>
        <w:t>stockholders</w:t>
      </w:r>
      <w:proofErr w:type="gramEnd"/>
      <w:r>
        <w:t>?</w:t>
      </w:r>
    </w:p>
    <w:p w:rsidR="005B4886" w:rsidRPr="002C693C" w:rsidRDefault="005D63F4" w:rsidP="005B4886">
      <w:pPr>
        <w:jc w:val="both"/>
      </w:pPr>
      <w:r>
        <w:t>1</w:t>
      </w:r>
      <w:r w:rsidR="005B4886">
        <w:t>6</w:t>
      </w:r>
      <w:r w:rsidR="005B4886" w:rsidRPr="002C693C">
        <w:t>. After closing entries</w:t>
      </w:r>
      <w:r w:rsidR="005B4886">
        <w:t>,</w:t>
      </w:r>
      <w:r w:rsidR="005B4886" w:rsidRPr="002C693C">
        <w:t xml:space="preserve"> how much of the net income is retained by the corporation?</w:t>
      </w:r>
    </w:p>
    <w:p w:rsidR="005B4886" w:rsidRDefault="005D63F4" w:rsidP="004C7857">
      <w:pPr>
        <w:jc w:val="both"/>
      </w:pPr>
      <w:r>
        <w:t>1</w:t>
      </w:r>
      <w:r w:rsidR="005B4886">
        <w:t xml:space="preserve">7. </w:t>
      </w:r>
      <w:r w:rsidR="005B4886" w:rsidRPr="002C693C">
        <w:t xml:space="preserve">What </w:t>
      </w:r>
      <w:r w:rsidR="005B4886">
        <w:t xml:space="preserve">amount should be reported on the December 31, 2015 balance sheet on the </w:t>
      </w:r>
    </w:p>
    <w:p w:rsidR="005B4886" w:rsidRDefault="005B4886" w:rsidP="005B4886">
      <w:pPr>
        <w:jc w:val="both"/>
      </w:pPr>
      <w:r>
        <w:t xml:space="preserve">     </w:t>
      </w:r>
      <w:r>
        <w:tab/>
      </w:r>
      <w:proofErr w:type="gramStart"/>
      <w:r>
        <w:t>single</w:t>
      </w:r>
      <w:proofErr w:type="gramEnd"/>
      <w:r>
        <w:t xml:space="preserve"> equity line called</w:t>
      </w:r>
      <w:r w:rsidRPr="002C693C">
        <w:t xml:space="preserve"> Stockholders’ Equity?  </w:t>
      </w:r>
    </w:p>
    <w:p w:rsidR="005B4886" w:rsidRPr="002C693C" w:rsidRDefault="005D63F4" w:rsidP="005B4886">
      <w:pPr>
        <w:jc w:val="both"/>
      </w:pPr>
      <w:r>
        <w:t>1</w:t>
      </w:r>
      <w:r w:rsidR="005B4886">
        <w:t>8. How many shares of common stock are unissued as of December 31, 2015?</w:t>
      </w:r>
    </w:p>
    <w:p w:rsidR="005B4886" w:rsidRDefault="005B4886">
      <w:pPr>
        <w:spacing w:after="200" w:line="276" w:lineRule="auto"/>
        <w:rPr>
          <w:rFonts w:eastAsiaTheme="minorEastAsia" w:cs="Arial"/>
        </w:rPr>
      </w:pPr>
      <w:r>
        <w:rPr>
          <w:rFonts w:cs="Arial"/>
        </w:rPr>
        <w:br w:type="page"/>
      </w:r>
    </w:p>
    <w:p w:rsidR="005B4886" w:rsidRPr="00113BE3" w:rsidRDefault="000558D8" w:rsidP="005B4886">
      <w:pPr>
        <w:pStyle w:val="NoSpacing"/>
        <w:rPr>
          <w:rFonts w:ascii="Arial" w:hAnsi="Arial" w:cs="Arial"/>
          <w:b/>
          <w:sz w:val="24"/>
          <w:szCs w:val="24"/>
          <w:u w:val="single"/>
        </w:rPr>
      </w:pPr>
      <w:r>
        <w:rPr>
          <w:rFonts w:ascii="Arial" w:hAnsi="Arial" w:cs="Arial"/>
          <w:b/>
          <w:sz w:val="24"/>
          <w:szCs w:val="24"/>
          <w:u w:val="single"/>
        </w:rPr>
        <w:lastRenderedPageBreak/>
        <w:t>Group 3</w:t>
      </w:r>
    </w:p>
    <w:p w:rsidR="00113BE3" w:rsidRPr="00113BE3" w:rsidRDefault="00113BE3" w:rsidP="00113BE3">
      <w:pPr>
        <w:tabs>
          <w:tab w:val="left" w:pos="432"/>
        </w:tabs>
        <w:jc w:val="both"/>
        <w:rPr>
          <w:rFonts w:cs="Arial"/>
          <w:b/>
          <w:bCs/>
        </w:rPr>
      </w:pPr>
      <w:r w:rsidRPr="00113BE3">
        <w:rPr>
          <w:rFonts w:cs="Arial"/>
          <w:b/>
          <w:bCs/>
        </w:rPr>
        <w:t>The following balances appear in the general ledger accounts of a corporation on December 31, 2015 after closing entries were posted at the end of the fiscal year.  The corporation was formed in the calendar year 2014.</w:t>
      </w:r>
    </w:p>
    <w:p w:rsidR="00113BE3" w:rsidRPr="00113BE3" w:rsidRDefault="00113BE3" w:rsidP="00113BE3">
      <w:pPr>
        <w:tabs>
          <w:tab w:val="left" w:pos="432"/>
        </w:tabs>
        <w:jc w:val="both"/>
        <w:rPr>
          <w:rFonts w:cs="Arial"/>
          <w:b/>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084"/>
        <w:gridCol w:w="1218"/>
      </w:tblGrid>
      <w:tr w:rsidR="00113BE3" w:rsidRPr="00113BE3" w:rsidTr="003A5E33">
        <w:trPr>
          <w:jc w:val="center"/>
        </w:trPr>
        <w:tc>
          <w:tcPr>
            <w:tcW w:w="0" w:type="auto"/>
          </w:tcPr>
          <w:p w:rsidR="00113BE3" w:rsidRPr="00113BE3" w:rsidRDefault="00113BE3" w:rsidP="00113BE3">
            <w:pPr>
              <w:tabs>
                <w:tab w:val="left" w:pos="432"/>
              </w:tabs>
              <w:rPr>
                <w:rFonts w:cs="Arial"/>
                <w:b/>
                <w:bCs/>
              </w:rPr>
            </w:pPr>
            <w:r w:rsidRPr="00113BE3">
              <w:rPr>
                <w:rFonts w:cs="Arial"/>
                <w:b/>
                <w:bCs/>
              </w:rPr>
              <w:t>8.25% Preferred Stock ($100 par)</w:t>
            </w:r>
          </w:p>
        </w:tc>
        <w:tc>
          <w:tcPr>
            <w:tcW w:w="0" w:type="auto"/>
          </w:tcPr>
          <w:p w:rsidR="00113BE3" w:rsidRPr="00113BE3" w:rsidRDefault="00113BE3" w:rsidP="00113BE3">
            <w:pPr>
              <w:tabs>
                <w:tab w:val="left" w:pos="432"/>
              </w:tabs>
              <w:jc w:val="right"/>
              <w:rPr>
                <w:rFonts w:cs="Arial"/>
                <w:b/>
                <w:bCs/>
              </w:rPr>
            </w:pPr>
            <w:r w:rsidRPr="00113BE3">
              <w:rPr>
                <w:rFonts w:cs="Arial"/>
                <w:b/>
                <w:bCs/>
              </w:rPr>
              <w:t>$102,000</w:t>
            </w:r>
          </w:p>
        </w:tc>
      </w:tr>
      <w:tr w:rsidR="00113BE3" w:rsidRPr="00113BE3" w:rsidTr="003A5E33">
        <w:trPr>
          <w:jc w:val="center"/>
        </w:trPr>
        <w:tc>
          <w:tcPr>
            <w:tcW w:w="0" w:type="auto"/>
          </w:tcPr>
          <w:p w:rsidR="00113BE3" w:rsidRPr="00113BE3" w:rsidRDefault="00113BE3" w:rsidP="00113BE3">
            <w:pPr>
              <w:tabs>
                <w:tab w:val="left" w:pos="432"/>
              </w:tabs>
              <w:rPr>
                <w:rFonts w:cs="Arial"/>
                <w:b/>
                <w:bCs/>
              </w:rPr>
            </w:pPr>
            <w:r w:rsidRPr="00113BE3">
              <w:rPr>
                <w:rFonts w:cs="Arial"/>
                <w:b/>
                <w:bCs/>
              </w:rPr>
              <w:t>Common Stock ($12 par)</w:t>
            </w:r>
          </w:p>
        </w:tc>
        <w:tc>
          <w:tcPr>
            <w:tcW w:w="0" w:type="auto"/>
          </w:tcPr>
          <w:p w:rsidR="00113BE3" w:rsidRPr="00113BE3" w:rsidRDefault="00113BE3" w:rsidP="00113BE3">
            <w:pPr>
              <w:tabs>
                <w:tab w:val="left" w:pos="432"/>
              </w:tabs>
              <w:jc w:val="right"/>
              <w:rPr>
                <w:rFonts w:cs="Arial"/>
                <w:b/>
                <w:bCs/>
              </w:rPr>
            </w:pPr>
            <w:r w:rsidRPr="00113BE3">
              <w:rPr>
                <w:rFonts w:cs="Arial"/>
                <w:b/>
                <w:bCs/>
              </w:rPr>
              <w:t>88,800</w:t>
            </w:r>
          </w:p>
        </w:tc>
      </w:tr>
      <w:tr w:rsidR="00113BE3" w:rsidRPr="00113BE3" w:rsidTr="003A5E33">
        <w:trPr>
          <w:jc w:val="center"/>
        </w:trPr>
        <w:tc>
          <w:tcPr>
            <w:tcW w:w="0" w:type="auto"/>
          </w:tcPr>
          <w:p w:rsidR="00113BE3" w:rsidRPr="00113BE3" w:rsidRDefault="00113BE3" w:rsidP="00113BE3">
            <w:pPr>
              <w:tabs>
                <w:tab w:val="left" w:pos="432"/>
              </w:tabs>
              <w:rPr>
                <w:rFonts w:cs="Arial"/>
                <w:b/>
                <w:bCs/>
              </w:rPr>
            </w:pPr>
            <w:r w:rsidRPr="00113BE3">
              <w:rPr>
                <w:rFonts w:cs="Arial"/>
                <w:b/>
                <w:bCs/>
              </w:rPr>
              <w:t>Paid-in Capital in Excess of Par—Common</w:t>
            </w:r>
          </w:p>
        </w:tc>
        <w:tc>
          <w:tcPr>
            <w:tcW w:w="0" w:type="auto"/>
          </w:tcPr>
          <w:p w:rsidR="00113BE3" w:rsidRPr="00113BE3" w:rsidRDefault="00113BE3" w:rsidP="00113BE3">
            <w:pPr>
              <w:tabs>
                <w:tab w:val="left" w:pos="432"/>
              </w:tabs>
              <w:jc w:val="right"/>
              <w:rPr>
                <w:rFonts w:cs="Arial"/>
                <w:b/>
                <w:bCs/>
              </w:rPr>
            </w:pPr>
            <w:r w:rsidRPr="00113BE3">
              <w:rPr>
                <w:rFonts w:cs="Arial"/>
                <w:b/>
                <w:bCs/>
              </w:rPr>
              <w:t>14,100</w:t>
            </w:r>
          </w:p>
        </w:tc>
      </w:tr>
      <w:tr w:rsidR="00113BE3" w:rsidRPr="00113BE3" w:rsidTr="003A5E33">
        <w:trPr>
          <w:jc w:val="center"/>
        </w:trPr>
        <w:tc>
          <w:tcPr>
            <w:tcW w:w="0" w:type="auto"/>
          </w:tcPr>
          <w:p w:rsidR="00113BE3" w:rsidRPr="00113BE3" w:rsidRDefault="00113BE3" w:rsidP="00113BE3">
            <w:pPr>
              <w:tabs>
                <w:tab w:val="left" w:pos="432"/>
              </w:tabs>
              <w:rPr>
                <w:rFonts w:cs="Arial"/>
                <w:b/>
                <w:bCs/>
              </w:rPr>
            </w:pPr>
            <w:r w:rsidRPr="00113BE3">
              <w:rPr>
                <w:rFonts w:cs="Arial"/>
                <w:b/>
                <w:bCs/>
              </w:rPr>
              <w:t>Retained Earnings</w:t>
            </w:r>
          </w:p>
        </w:tc>
        <w:tc>
          <w:tcPr>
            <w:tcW w:w="0" w:type="auto"/>
          </w:tcPr>
          <w:p w:rsidR="00113BE3" w:rsidRPr="00113BE3" w:rsidRDefault="00113BE3" w:rsidP="00113BE3">
            <w:pPr>
              <w:tabs>
                <w:tab w:val="left" w:pos="432"/>
              </w:tabs>
              <w:jc w:val="right"/>
              <w:rPr>
                <w:rFonts w:cs="Arial"/>
                <w:b/>
                <w:bCs/>
              </w:rPr>
            </w:pPr>
            <w:r w:rsidRPr="00113BE3">
              <w:rPr>
                <w:rFonts w:cs="Arial"/>
                <w:b/>
                <w:bCs/>
              </w:rPr>
              <w:t>90,571</w:t>
            </w:r>
          </w:p>
        </w:tc>
      </w:tr>
      <w:tr w:rsidR="00113BE3" w:rsidRPr="00113BE3" w:rsidTr="003A5E33">
        <w:trPr>
          <w:jc w:val="center"/>
        </w:trPr>
        <w:tc>
          <w:tcPr>
            <w:tcW w:w="0" w:type="auto"/>
          </w:tcPr>
          <w:p w:rsidR="00113BE3" w:rsidRPr="00113BE3" w:rsidRDefault="00113BE3" w:rsidP="00113BE3">
            <w:pPr>
              <w:tabs>
                <w:tab w:val="left" w:pos="432"/>
              </w:tabs>
              <w:rPr>
                <w:rFonts w:cs="Arial"/>
                <w:b/>
                <w:bCs/>
              </w:rPr>
            </w:pPr>
            <w:r w:rsidRPr="00113BE3">
              <w:rPr>
                <w:rFonts w:cs="Arial"/>
                <w:b/>
                <w:bCs/>
              </w:rPr>
              <w:t>Dividends—Preferred</w:t>
            </w:r>
          </w:p>
        </w:tc>
        <w:tc>
          <w:tcPr>
            <w:tcW w:w="0" w:type="auto"/>
          </w:tcPr>
          <w:p w:rsidR="00113BE3" w:rsidRPr="00113BE3" w:rsidRDefault="00113BE3" w:rsidP="00113BE3">
            <w:pPr>
              <w:tabs>
                <w:tab w:val="left" w:pos="432"/>
              </w:tabs>
              <w:jc w:val="center"/>
              <w:rPr>
                <w:rFonts w:cs="Arial"/>
                <w:b/>
                <w:bCs/>
              </w:rPr>
            </w:pPr>
            <w:r w:rsidRPr="00113BE3">
              <w:rPr>
                <w:rFonts w:cs="Arial"/>
                <w:b/>
                <w:bCs/>
              </w:rPr>
              <w:t xml:space="preserve">       -0-    </w:t>
            </w:r>
          </w:p>
        </w:tc>
      </w:tr>
      <w:tr w:rsidR="00113BE3" w:rsidRPr="00113BE3" w:rsidTr="003A5E33">
        <w:trPr>
          <w:jc w:val="center"/>
        </w:trPr>
        <w:tc>
          <w:tcPr>
            <w:tcW w:w="0" w:type="auto"/>
          </w:tcPr>
          <w:p w:rsidR="00113BE3" w:rsidRPr="00113BE3" w:rsidRDefault="00113BE3" w:rsidP="00113BE3">
            <w:pPr>
              <w:tabs>
                <w:tab w:val="left" w:pos="432"/>
              </w:tabs>
              <w:rPr>
                <w:rFonts w:cs="Arial"/>
                <w:b/>
                <w:bCs/>
              </w:rPr>
            </w:pPr>
            <w:r w:rsidRPr="00113BE3">
              <w:rPr>
                <w:rFonts w:cs="Arial"/>
                <w:b/>
                <w:bCs/>
              </w:rPr>
              <w:t>Dividends—Common</w:t>
            </w:r>
          </w:p>
        </w:tc>
        <w:tc>
          <w:tcPr>
            <w:tcW w:w="0" w:type="auto"/>
          </w:tcPr>
          <w:p w:rsidR="00113BE3" w:rsidRPr="00113BE3" w:rsidRDefault="00113BE3" w:rsidP="00113BE3">
            <w:pPr>
              <w:tabs>
                <w:tab w:val="left" w:pos="432"/>
              </w:tabs>
              <w:jc w:val="center"/>
              <w:rPr>
                <w:rFonts w:cs="Arial"/>
                <w:b/>
                <w:bCs/>
              </w:rPr>
            </w:pPr>
            <w:r w:rsidRPr="00113BE3">
              <w:rPr>
                <w:rFonts w:cs="Arial"/>
                <w:b/>
                <w:bCs/>
              </w:rPr>
              <w:t xml:space="preserve">       -0- </w:t>
            </w:r>
          </w:p>
        </w:tc>
      </w:tr>
    </w:tbl>
    <w:p w:rsidR="00113BE3" w:rsidRPr="00113BE3" w:rsidRDefault="00113BE3" w:rsidP="00113BE3">
      <w:pPr>
        <w:tabs>
          <w:tab w:val="left" w:pos="432"/>
        </w:tabs>
        <w:rPr>
          <w:rFonts w:cs="Arial"/>
          <w:sz w:val="16"/>
          <w:szCs w:val="16"/>
        </w:rPr>
      </w:pPr>
    </w:p>
    <w:p w:rsidR="00113BE3" w:rsidRPr="00113BE3" w:rsidRDefault="00113BE3" w:rsidP="00113BE3">
      <w:pPr>
        <w:tabs>
          <w:tab w:val="left" w:pos="432"/>
        </w:tabs>
        <w:jc w:val="both"/>
        <w:rPr>
          <w:rFonts w:cs="Arial"/>
          <w:b/>
          <w:bCs/>
        </w:rPr>
      </w:pPr>
      <w:r w:rsidRPr="00113BE3">
        <w:rPr>
          <w:rFonts w:cs="Arial"/>
          <w:b/>
          <w:bCs/>
        </w:rPr>
        <w:t>The corporation is authorized to issue 50,000 shares of preferred stock and 100,000 shares of common stock.</w:t>
      </w:r>
    </w:p>
    <w:p w:rsidR="00113BE3" w:rsidRPr="00113BE3" w:rsidRDefault="00113BE3" w:rsidP="00113BE3">
      <w:pPr>
        <w:tabs>
          <w:tab w:val="left" w:pos="432"/>
        </w:tabs>
        <w:rPr>
          <w:rFonts w:cs="Arial"/>
          <w:sz w:val="16"/>
          <w:szCs w:val="16"/>
        </w:rPr>
      </w:pPr>
    </w:p>
    <w:p w:rsidR="00113BE3" w:rsidRPr="00113BE3" w:rsidRDefault="00113BE3" w:rsidP="00113BE3">
      <w:pPr>
        <w:tabs>
          <w:tab w:val="left" w:pos="432"/>
        </w:tabs>
        <w:jc w:val="both"/>
        <w:rPr>
          <w:rFonts w:cs="Arial"/>
          <w:b/>
          <w:bCs/>
        </w:rPr>
      </w:pPr>
      <w:r w:rsidRPr="00113BE3">
        <w:rPr>
          <w:rFonts w:cs="Arial"/>
          <w:b/>
          <w:bCs/>
        </w:rPr>
        <w:t>The following are all the transactions that occurred in 2015 that affected the stockholders’ equity accounts.</w:t>
      </w:r>
    </w:p>
    <w:p w:rsidR="00113BE3" w:rsidRPr="00113BE3" w:rsidRDefault="00113BE3" w:rsidP="00113BE3">
      <w:pPr>
        <w:tabs>
          <w:tab w:val="left" w:pos="432"/>
        </w:tabs>
        <w:jc w:val="both"/>
        <w:rPr>
          <w:rFonts w:cs="Arial"/>
          <w:b/>
          <w:bCs/>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152"/>
        <w:gridCol w:w="8424"/>
      </w:tblGrid>
      <w:tr w:rsidR="00113BE3" w:rsidRPr="00113BE3" w:rsidTr="003A5E33">
        <w:tc>
          <w:tcPr>
            <w:tcW w:w="1152" w:type="dxa"/>
          </w:tcPr>
          <w:p w:rsidR="00113BE3" w:rsidRPr="00113BE3" w:rsidRDefault="00113BE3" w:rsidP="00113BE3">
            <w:pPr>
              <w:tabs>
                <w:tab w:val="left" w:pos="432"/>
              </w:tabs>
              <w:rPr>
                <w:rFonts w:cs="Arial"/>
              </w:rPr>
            </w:pPr>
            <w:r w:rsidRPr="00113BE3">
              <w:rPr>
                <w:rFonts w:cs="Arial"/>
              </w:rPr>
              <w:t>Jan 5</w:t>
            </w:r>
          </w:p>
        </w:tc>
        <w:tc>
          <w:tcPr>
            <w:tcW w:w="0" w:type="auto"/>
          </w:tcPr>
          <w:p w:rsidR="00113BE3" w:rsidRPr="00113BE3" w:rsidRDefault="00113BE3" w:rsidP="00113BE3">
            <w:pPr>
              <w:tabs>
                <w:tab w:val="left" w:pos="432"/>
              </w:tabs>
              <w:rPr>
                <w:rFonts w:cs="Arial"/>
              </w:rPr>
            </w:pPr>
            <w:r w:rsidRPr="00113BE3">
              <w:rPr>
                <w:rFonts w:cs="Arial"/>
              </w:rPr>
              <w:t>The board of directors declared the annual cash dividend on the preferred stock issued to all stockholders of record as of January 15, 2015 payable on February 15, 2015.</w:t>
            </w:r>
          </w:p>
        </w:tc>
      </w:tr>
      <w:tr w:rsidR="00113BE3" w:rsidRPr="00113BE3" w:rsidTr="003A5E33">
        <w:tc>
          <w:tcPr>
            <w:tcW w:w="1152" w:type="dxa"/>
          </w:tcPr>
          <w:p w:rsidR="00113BE3" w:rsidRPr="00113BE3" w:rsidRDefault="00113BE3" w:rsidP="00113BE3">
            <w:pPr>
              <w:tabs>
                <w:tab w:val="left" w:pos="432"/>
              </w:tabs>
              <w:rPr>
                <w:rFonts w:cs="Arial"/>
              </w:rPr>
            </w:pPr>
            <w:r w:rsidRPr="00113BE3">
              <w:rPr>
                <w:rFonts w:cs="Arial"/>
              </w:rPr>
              <w:t xml:space="preserve">Feb 15   </w:t>
            </w:r>
          </w:p>
        </w:tc>
        <w:tc>
          <w:tcPr>
            <w:tcW w:w="0" w:type="auto"/>
          </w:tcPr>
          <w:p w:rsidR="00113BE3" w:rsidRPr="00113BE3" w:rsidRDefault="00113BE3" w:rsidP="00113BE3">
            <w:pPr>
              <w:tabs>
                <w:tab w:val="left" w:pos="432"/>
              </w:tabs>
              <w:rPr>
                <w:rFonts w:cs="Arial"/>
              </w:rPr>
            </w:pPr>
            <w:r w:rsidRPr="00113BE3">
              <w:rPr>
                <w:rFonts w:cs="Arial"/>
              </w:rPr>
              <w:t>Paid the preferred stock cash dividend.</w:t>
            </w:r>
          </w:p>
        </w:tc>
      </w:tr>
      <w:tr w:rsidR="00113BE3" w:rsidRPr="00113BE3" w:rsidTr="003A5E33">
        <w:tc>
          <w:tcPr>
            <w:tcW w:w="1152" w:type="dxa"/>
          </w:tcPr>
          <w:p w:rsidR="00113BE3" w:rsidRPr="00113BE3" w:rsidRDefault="00113BE3" w:rsidP="00113BE3">
            <w:pPr>
              <w:tabs>
                <w:tab w:val="left" w:pos="432"/>
              </w:tabs>
              <w:rPr>
                <w:rFonts w:cs="Arial"/>
              </w:rPr>
            </w:pPr>
            <w:r w:rsidRPr="00113BE3">
              <w:rPr>
                <w:rFonts w:cs="Arial"/>
              </w:rPr>
              <w:t xml:space="preserve">May 7   </w:t>
            </w:r>
          </w:p>
        </w:tc>
        <w:tc>
          <w:tcPr>
            <w:tcW w:w="0" w:type="auto"/>
          </w:tcPr>
          <w:p w:rsidR="00113BE3" w:rsidRPr="00113BE3" w:rsidRDefault="00113BE3" w:rsidP="00113BE3">
            <w:pPr>
              <w:tabs>
                <w:tab w:val="left" w:pos="432"/>
              </w:tabs>
              <w:rPr>
                <w:rFonts w:cs="Arial"/>
              </w:rPr>
            </w:pPr>
            <w:r w:rsidRPr="00113BE3">
              <w:rPr>
                <w:rFonts w:cs="Arial"/>
              </w:rPr>
              <w:t>The board of directors declared the annual cash dividend of $3.50 per share on the common stock to all stockholders of record as of May 15, 2015, payable on June 15, 2015.</w:t>
            </w:r>
          </w:p>
        </w:tc>
      </w:tr>
      <w:tr w:rsidR="00113BE3" w:rsidRPr="00113BE3" w:rsidTr="003A5E33">
        <w:tc>
          <w:tcPr>
            <w:tcW w:w="1152" w:type="dxa"/>
          </w:tcPr>
          <w:p w:rsidR="00113BE3" w:rsidRPr="00113BE3" w:rsidRDefault="00113BE3" w:rsidP="00113BE3">
            <w:pPr>
              <w:tabs>
                <w:tab w:val="left" w:pos="432"/>
              </w:tabs>
              <w:rPr>
                <w:rFonts w:cs="Arial"/>
              </w:rPr>
            </w:pPr>
            <w:r w:rsidRPr="00113BE3">
              <w:rPr>
                <w:rFonts w:cs="Arial"/>
              </w:rPr>
              <w:t xml:space="preserve">June 15  </w:t>
            </w:r>
          </w:p>
        </w:tc>
        <w:tc>
          <w:tcPr>
            <w:tcW w:w="0" w:type="auto"/>
          </w:tcPr>
          <w:p w:rsidR="00113BE3" w:rsidRPr="00113BE3" w:rsidRDefault="00113BE3" w:rsidP="00113BE3">
            <w:pPr>
              <w:tabs>
                <w:tab w:val="left" w:pos="432"/>
              </w:tabs>
              <w:rPr>
                <w:rFonts w:cs="Arial"/>
              </w:rPr>
            </w:pPr>
            <w:r w:rsidRPr="00113BE3">
              <w:rPr>
                <w:rFonts w:cs="Arial"/>
              </w:rPr>
              <w:t>Paid the common stock cash dividend.</w:t>
            </w:r>
          </w:p>
        </w:tc>
      </w:tr>
      <w:tr w:rsidR="00113BE3" w:rsidRPr="00113BE3" w:rsidTr="003A5E33">
        <w:tc>
          <w:tcPr>
            <w:tcW w:w="1152" w:type="dxa"/>
          </w:tcPr>
          <w:p w:rsidR="00113BE3" w:rsidRPr="00113BE3" w:rsidRDefault="00113BE3" w:rsidP="00113BE3">
            <w:pPr>
              <w:tabs>
                <w:tab w:val="left" w:pos="432"/>
              </w:tabs>
              <w:rPr>
                <w:rFonts w:cs="Arial"/>
              </w:rPr>
            </w:pPr>
            <w:r w:rsidRPr="00113BE3">
              <w:rPr>
                <w:rFonts w:cs="Arial"/>
              </w:rPr>
              <w:t>Aug 1</w:t>
            </w:r>
          </w:p>
        </w:tc>
        <w:tc>
          <w:tcPr>
            <w:tcW w:w="0" w:type="auto"/>
          </w:tcPr>
          <w:p w:rsidR="00113BE3" w:rsidRPr="00113BE3" w:rsidRDefault="00113BE3" w:rsidP="00113BE3">
            <w:pPr>
              <w:tabs>
                <w:tab w:val="left" w:pos="432"/>
              </w:tabs>
              <w:rPr>
                <w:rFonts w:cs="Arial"/>
              </w:rPr>
            </w:pPr>
            <w:r w:rsidRPr="00113BE3">
              <w:rPr>
                <w:rFonts w:cs="Arial"/>
              </w:rPr>
              <w:t>Issued 300 shares of 8.25% preferred stock at par.</w:t>
            </w:r>
          </w:p>
        </w:tc>
      </w:tr>
      <w:tr w:rsidR="00113BE3" w:rsidRPr="00113BE3" w:rsidTr="003A5E33">
        <w:tc>
          <w:tcPr>
            <w:tcW w:w="1152" w:type="dxa"/>
          </w:tcPr>
          <w:p w:rsidR="00113BE3" w:rsidRPr="00113BE3" w:rsidRDefault="00113BE3" w:rsidP="00113BE3">
            <w:pPr>
              <w:tabs>
                <w:tab w:val="left" w:pos="432"/>
              </w:tabs>
              <w:rPr>
                <w:rFonts w:cs="Arial"/>
              </w:rPr>
            </w:pPr>
            <w:r w:rsidRPr="00113BE3">
              <w:rPr>
                <w:rFonts w:cs="Arial"/>
              </w:rPr>
              <w:t>Sept 1</w:t>
            </w:r>
          </w:p>
        </w:tc>
        <w:tc>
          <w:tcPr>
            <w:tcW w:w="0" w:type="auto"/>
          </w:tcPr>
          <w:p w:rsidR="00113BE3" w:rsidRPr="00113BE3" w:rsidRDefault="00113BE3" w:rsidP="00113BE3">
            <w:pPr>
              <w:tabs>
                <w:tab w:val="left" w:pos="432"/>
              </w:tabs>
              <w:rPr>
                <w:rFonts w:cs="Arial"/>
              </w:rPr>
            </w:pPr>
            <w:r w:rsidRPr="00113BE3">
              <w:rPr>
                <w:rFonts w:cs="Arial"/>
              </w:rPr>
              <w:t>Issued 1150 shares of common stock at par.</w:t>
            </w:r>
          </w:p>
        </w:tc>
      </w:tr>
      <w:tr w:rsidR="00113BE3" w:rsidRPr="00113BE3" w:rsidTr="003A5E33">
        <w:tc>
          <w:tcPr>
            <w:tcW w:w="1152" w:type="dxa"/>
          </w:tcPr>
          <w:p w:rsidR="00113BE3" w:rsidRPr="00113BE3" w:rsidRDefault="00113BE3" w:rsidP="00113BE3">
            <w:pPr>
              <w:tabs>
                <w:tab w:val="left" w:pos="432"/>
              </w:tabs>
              <w:rPr>
                <w:rFonts w:cs="Arial"/>
              </w:rPr>
            </w:pPr>
            <w:r w:rsidRPr="00113BE3">
              <w:rPr>
                <w:rFonts w:cs="Arial"/>
              </w:rPr>
              <w:t xml:space="preserve">Nov 1     </w:t>
            </w:r>
          </w:p>
        </w:tc>
        <w:tc>
          <w:tcPr>
            <w:tcW w:w="0" w:type="auto"/>
          </w:tcPr>
          <w:p w:rsidR="00113BE3" w:rsidRPr="00113BE3" w:rsidRDefault="00113BE3" w:rsidP="00113BE3">
            <w:pPr>
              <w:tabs>
                <w:tab w:val="left" w:pos="432"/>
              </w:tabs>
              <w:rPr>
                <w:rFonts w:cs="Arial"/>
              </w:rPr>
            </w:pPr>
            <w:r w:rsidRPr="00113BE3">
              <w:rPr>
                <w:rFonts w:cs="Arial"/>
              </w:rPr>
              <w:t>Issued 800 shares of common stock for $16.00 per share.</w:t>
            </w:r>
          </w:p>
        </w:tc>
      </w:tr>
      <w:tr w:rsidR="00113BE3" w:rsidRPr="00113BE3" w:rsidTr="003A5E33">
        <w:tc>
          <w:tcPr>
            <w:tcW w:w="1152" w:type="dxa"/>
          </w:tcPr>
          <w:p w:rsidR="00113BE3" w:rsidRPr="00113BE3" w:rsidRDefault="00113BE3" w:rsidP="00113BE3">
            <w:pPr>
              <w:tabs>
                <w:tab w:val="left" w:pos="432"/>
              </w:tabs>
              <w:rPr>
                <w:rFonts w:cs="Arial"/>
              </w:rPr>
            </w:pPr>
            <w:r w:rsidRPr="00113BE3">
              <w:rPr>
                <w:rFonts w:cs="Arial"/>
              </w:rPr>
              <w:t xml:space="preserve">Dec 31  </w:t>
            </w:r>
          </w:p>
        </w:tc>
        <w:tc>
          <w:tcPr>
            <w:tcW w:w="0" w:type="auto"/>
          </w:tcPr>
          <w:p w:rsidR="00113BE3" w:rsidRPr="00113BE3" w:rsidRDefault="00113BE3" w:rsidP="00113BE3">
            <w:pPr>
              <w:tabs>
                <w:tab w:val="left" w:pos="432"/>
              </w:tabs>
              <w:rPr>
                <w:rFonts w:cs="Arial"/>
              </w:rPr>
            </w:pPr>
            <w:r w:rsidRPr="00113BE3">
              <w:rPr>
                <w:rFonts w:cs="Arial"/>
              </w:rPr>
              <w:t>Closed the net income for the year of $48,096</w:t>
            </w:r>
          </w:p>
        </w:tc>
      </w:tr>
      <w:tr w:rsidR="00113BE3" w:rsidRPr="00113BE3" w:rsidTr="003A5E33">
        <w:tc>
          <w:tcPr>
            <w:tcW w:w="1152" w:type="dxa"/>
          </w:tcPr>
          <w:p w:rsidR="00113BE3" w:rsidRPr="00113BE3" w:rsidRDefault="00113BE3" w:rsidP="00113BE3">
            <w:pPr>
              <w:tabs>
                <w:tab w:val="left" w:pos="432"/>
              </w:tabs>
              <w:rPr>
                <w:rFonts w:cs="Arial"/>
              </w:rPr>
            </w:pPr>
            <w:r w:rsidRPr="00113BE3">
              <w:rPr>
                <w:rFonts w:cs="Arial"/>
              </w:rPr>
              <w:t xml:space="preserve">Dec 31  </w:t>
            </w:r>
          </w:p>
        </w:tc>
        <w:tc>
          <w:tcPr>
            <w:tcW w:w="0" w:type="auto"/>
          </w:tcPr>
          <w:p w:rsidR="00113BE3" w:rsidRPr="00113BE3" w:rsidRDefault="00113BE3" w:rsidP="00113BE3">
            <w:pPr>
              <w:tabs>
                <w:tab w:val="left" w:pos="432"/>
              </w:tabs>
              <w:rPr>
                <w:rFonts w:cs="Arial"/>
              </w:rPr>
            </w:pPr>
            <w:r w:rsidRPr="00113BE3">
              <w:rPr>
                <w:rFonts w:cs="Arial"/>
              </w:rPr>
              <w:t>Closed the two dividend accounts.</w:t>
            </w:r>
          </w:p>
        </w:tc>
      </w:tr>
    </w:tbl>
    <w:p w:rsidR="00113BE3" w:rsidRPr="00113BE3" w:rsidRDefault="00113BE3" w:rsidP="00113BE3">
      <w:pPr>
        <w:tabs>
          <w:tab w:val="left" w:pos="432"/>
        </w:tabs>
        <w:rPr>
          <w:rFonts w:cs="Arial"/>
          <w:sz w:val="16"/>
          <w:szCs w:val="16"/>
        </w:rPr>
      </w:pPr>
      <w:r w:rsidRPr="00113BE3">
        <w:rPr>
          <w:rFonts w:cs="Arial"/>
        </w:rPr>
        <w:t xml:space="preserve"> </w:t>
      </w:r>
    </w:p>
    <w:p w:rsidR="00113BE3" w:rsidRPr="00113BE3" w:rsidRDefault="00113BE3" w:rsidP="00113BE3">
      <w:pPr>
        <w:tabs>
          <w:tab w:val="left" w:pos="43"/>
        </w:tabs>
        <w:jc w:val="both"/>
        <w:rPr>
          <w:rFonts w:cs="Arial"/>
          <w:b/>
          <w:bCs/>
        </w:rPr>
      </w:pPr>
      <w:r w:rsidRPr="00113BE3">
        <w:rPr>
          <w:rFonts w:cs="Arial"/>
          <w:b/>
          <w:bCs/>
        </w:rPr>
        <w:t xml:space="preserve">For questions </w:t>
      </w:r>
      <w:r w:rsidR="005D63F4">
        <w:rPr>
          <w:rFonts w:cs="Arial"/>
          <w:b/>
          <w:bCs/>
        </w:rPr>
        <w:t>19</w:t>
      </w:r>
      <w:r w:rsidRPr="00113BE3">
        <w:rPr>
          <w:rFonts w:cs="Arial"/>
          <w:b/>
          <w:bCs/>
        </w:rPr>
        <w:t xml:space="preserve"> and </w:t>
      </w:r>
      <w:r w:rsidR="005D63F4">
        <w:rPr>
          <w:rFonts w:cs="Arial"/>
          <w:b/>
          <w:bCs/>
        </w:rPr>
        <w:t>2</w:t>
      </w:r>
      <w:r>
        <w:rPr>
          <w:rFonts w:cs="Arial"/>
          <w:b/>
          <w:bCs/>
        </w:rPr>
        <w:t>0</w:t>
      </w:r>
      <w:r w:rsidRPr="00113BE3">
        <w:rPr>
          <w:rFonts w:cs="Arial"/>
          <w:b/>
          <w:bCs/>
        </w:rPr>
        <w:t>, write on your answer sheet the correct number of shares of stock issued as of January 1, 2015.</w:t>
      </w:r>
    </w:p>
    <w:p w:rsidR="00113BE3" w:rsidRPr="00113BE3" w:rsidRDefault="00113BE3" w:rsidP="00113BE3">
      <w:pPr>
        <w:tabs>
          <w:tab w:val="left" w:pos="43"/>
        </w:tabs>
        <w:rPr>
          <w:rFonts w:cs="Arial"/>
          <w:sz w:val="16"/>
          <w:szCs w:val="16"/>
        </w:rPr>
      </w:pPr>
    </w:p>
    <w:p w:rsidR="00113BE3" w:rsidRPr="00113BE3" w:rsidRDefault="005D63F4" w:rsidP="00113BE3">
      <w:pPr>
        <w:tabs>
          <w:tab w:val="left" w:pos="43"/>
        </w:tabs>
        <w:rPr>
          <w:rFonts w:cs="Arial"/>
        </w:rPr>
      </w:pPr>
      <w:r>
        <w:rPr>
          <w:rFonts w:cs="Arial"/>
        </w:rPr>
        <w:t>1</w:t>
      </w:r>
      <w:r w:rsidR="00113BE3">
        <w:rPr>
          <w:rFonts w:cs="Arial"/>
        </w:rPr>
        <w:t>9</w:t>
      </w:r>
      <w:r w:rsidR="00113BE3" w:rsidRPr="00113BE3">
        <w:rPr>
          <w:rFonts w:cs="Arial"/>
        </w:rPr>
        <w:t>. 8.25% Preferred Stock</w:t>
      </w:r>
    </w:p>
    <w:p w:rsidR="00113BE3" w:rsidRPr="00113BE3" w:rsidRDefault="00113BE3" w:rsidP="00113BE3">
      <w:pPr>
        <w:tabs>
          <w:tab w:val="left" w:pos="43"/>
        </w:tabs>
        <w:ind w:hanging="90"/>
        <w:rPr>
          <w:rFonts w:cs="Arial"/>
        </w:rPr>
      </w:pPr>
      <w:r w:rsidRPr="00113BE3">
        <w:rPr>
          <w:rFonts w:cs="Arial"/>
        </w:rPr>
        <w:t>*</w:t>
      </w:r>
      <w:r w:rsidR="005D63F4">
        <w:rPr>
          <w:rFonts w:cs="Arial"/>
        </w:rPr>
        <w:t>2</w:t>
      </w:r>
      <w:r>
        <w:rPr>
          <w:rFonts w:cs="Arial"/>
        </w:rPr>
        <w:t>0</w:t>
      </w:r>
      <w:r w:rsidRPr="00113BE3">
        <w:rPr>
          <w:rFonts w:cs="Arial"/>
        </w:rPr>
        <w:t>. Common Stock</w:t>
      </w:r>
    </w:p>
    <w:p w:rsidR="00113BE3" w:rsidRPr="00113BE3" w:rsidRDefault="00113BE3" w:rsidP="00113BE3">
      <w:pPr>
        <w:tabs>
          <w:tab w:val="left" w:pos="43"/>
        </w:tabs>
        <w:rPr>
          <w:rFonts w:cs="Arial"/>
          <w:sz w:val="16"/>
          <w:szCs w:val="16"/>
        </w:rPr>
      </w:pPr>
    </w:p>
    <w:p w:rsidR="00113BE3" w:rsidRPr="00113BE3" w:rsidRDefault="00113BE3" w:rsidP="00113BE3">
      <w:pPr>
        <w:tabs>
          <w:tab w:val="left" w:pos="43"/>
        </w:tabs>
        <w:jc w:val="both"/>
        <w:rPr>
          <w:rFonts w:cs="Arial"/>
          <w:b/>
          <w:bCs/>
        </w:rPr>
      </w:pPr>
      <w:r w:rsidRPr="00113BE3">
        <w:rPr>
          <w:rFonts w:cs="Arial"/>
          <w:b/>
          <w:bCs/>
        </w:rPr>
        <w:t xml:space="preserve">For questions </w:t>
      </w:r>
      <w:r w:rsidR="005D63F4">
        <w:rPr>
          <w:rFonts w:cs="Arial"/>
          <w:b/>
          <w:bCs/>
        </w:rPr>
        <w:t>2</w:t>
      </w:r>
      <w:r>
        <w:rPr>
          <w:rFonts w:cs="Arial"/>
          <w:b/>
          <w:bCs/>
        </w:rPr>
        <w:t>1</w:t>
      </w:r>
      <w:r w:rsidRPr="00113BE3">
        <w:rPr>
          <w:rFonts w:cs="Arial"/>
          <w:b/>
          <w:bCs/>
        </w:rPr>
        <w:t xml:space="preserve"> through </w:t>
      </w:r>
      <w:r w:rsidR="005D63F4">
        <w:rPr>
          <w:rFonts w:cs="Arial"/>
          <w:b/>
          <w:bCs/>
        </w:rPr>
        <w:t>2</w:t>
      </w:r>
      <w:r>
        <w:rPr>
          <w:rFonts w:cs="Arial"/>
          <w:b/>
          <w:bCs/>
        </w:rPr>
        <w:t>5</w:t>
      </w:r>
      <w:r w:rsidRPr="00113BE3">
        <w:rPr>
          <w:rFonts w:cs="Arial"/>
          <w:b/>
          <w:bCs/>
        </w:rPr>
        <w:t>, write on your answer sheet the correct amount of the beginning balance as of January 1, 2015 for each of the following accounts:</w:t>
      </w:r>
    </w:p>
    <w:p w:rsidR="00113BE3" w:rsidRPr="00113BE3" w:rsidRDefault="00113BE3" w:rsidP="00113BE3">
      <w:pPr>
        <w:tabs>
          <w:tab w:val="left" w:pos="43"/>
        </w:tabs>
        <w:jc w:val="both"/>
        <w:rPr>
          <w:rFonts w:cs="Arial"/>
          <w:b/>
          <w:bCs/>
          <w:sz w:val="16"/>
          <w:szCs w:val="16"/>
        </w:rPr>
      </w:pPr>
    </w:p>
    <w:p w:rsidR="00113BE3" w:rsidRPr="00113BE3" w:rsidRDefault="005D63F4" w:rsidP="00113BE3">
      <w:pPr>
        <w:tabs>
          <w:tab w:val="left" w:pos="43"/>
        </w:tabs>
        <w:rPr>
          <w:rFonts w:cs="Arial"/>
        </w:rPr>
      </w:pPr>
      <w:r>
        <w:rPr>
          <w:rFonts w:cs="Arial"/>
        </w:rPr>
        <w:t>2</w:t>
      </w:r>
      <w:r w:rsidR="00113BE3">
        <w:rPr>
          <w:rFonts w:cs="Arial"/>
        </w:rPr>
        <w:t>1</w:t>
      </w:r>
      <w:r w:rsidR="00113BE3" w:rsidRPr="00113BE3">
        <w:rPr>
          <w:rFonts w:cs="Arial"/>
        </w:rPr>
        <w:t>.  8.25% Preferred Stock</w:t>
      </w:r>
    </w:p>
    <w:p w:rsidR="00113BE3" w:rsidRPr="00113BE3" w:rsidRDefault="00113BE3" w:rsidP="00113BE3">
      <w:pPr>
        <w:tabs>
          <w:tab w:val="left" w:pos="43"/>
        </w:tabs>
        <w:ind w:hanging="187"/>
        <w:rPr>
          <w:rFonts w:cs="Arial"/>
        </w:rPr>
      </w:pPr>
      <w:r w:rsidRPr="00113BE3">
        <w:rPr>
          <w:rFonts w:cs="Arial"/>
        </w:rPr>
        <w:t xml:space="preserve">  *</w:t>
      </w:r>
      <w:r w:rsidR="005D63F4">
        <w:rPr>
          <w:rFonts w:cs="Arial"/>
        </w:rPr>
        <w:t>2</w:t>
      </w:r>
      <w:r>
        <w:rPr>
          <w:rFonts w:cs="Arial"/>
        </w:rPr>
        <w:t>2</w:t>
      </w:r>
      <w:r w:rsidRPr="00113BE3">
        <w:rPr>
          <w:rFonts w:cs="Arial"/>
        </w:rPr>
        <w:t>. Common Stock</w:t>
      </w:r>
    </w:p>
    <w:p w:rsidR="00113BE3" w:rsidRPr="00113BE3" w:rsidRDefault="004C7857" w:rsidP="004C7857">
      <w:pPr>
        <w:tabs>
          <w:tab w:val="left" w:pos="43"/>
        </w:tabs>
        <w:ind w:hanging="90"/>
        <w:rPr>
          <w:rFonts w:cs="Arial"/>
        </w:rPr>
      </w:pPr>
      <w:r>
        <w:rPr>
          <w:rFonts w:cs="Arial"/>
        </w:rPr>
        <w:t>*</w:t>
      </w:r>
      <w:r w:rsidR="005D63F4">
        <w:rPr>
          <w:rFonts w:cs="Arial"/>
        </w:rPr>
        <w:t>23</w:t>
      </w:r>
      <w:r w:rsidR="00113BE3" w:rsidRPr="00113BE3">
        <w:rPr>
          <w:rFonts w:cs="Arial"/>
        </w:rPr>
        <w:t>. Paid-in Capital in Excess of Par—Common</w:t>
      </w:r>
    </w:p>
    <w:p w:rsidR="00113BE3" w:rsidRPr="00113BE3" w:rsidRDefault="00113BE3" w:rsidP="00113BE3">
      <w:pPr>
        <w:tabs>
          <w:tab w:val="left" w:pos="43"/>
        </w:tabs>
        <w:ind w:hanging="90"/>
        <w:rPr>
          <w:rFonts w:cs="Arial"/>
        </w:rPr>
      </w:pPr>
      <w:r w:rsidRPr="00113BE3">
        <w:rPr>
          <w:rFonts w:cs="Arial"/>
        </w:rPr>
        <w:t>*</w:t>
      </w:r>
      <w:r w:rsidR="005D63F4">
        <w:rPr>
          <w:rFonts w:cs="Arial"/>
        </w:rPr>
        <w:t>2</w:t>
      </w:r>
      <w:r>
        <w:rPr>
          <w:rFonts w:cs="Arial"/>
        </w:rPr>
        <w:t>4</w:t>
      </w:r>
      <w:r w:rsidRPr="00113BE3">
        <w:rPr>
          <w:rFonts w:cs="Arial"/>
        </w:rPr>
        <w:t>. Retained Earnings</w:t>
      </w:r>
    </w:p>
    <w:p w:rsidR="00113BE3" w:rsidRPr="00113BE3" w:rsidRDefault="005D63F4" w:rsidP="00113BE3">
      <w:pPr>
        <w:tabs>
          <w:tab w:val="left" w:pos="43"/>
        </w:tabs>
        <w:rPr>
          <w:rFonts w:cs="Arial"/>
        </w:rPr>
      </w:pPr>
      <w:r>
        <w:rPr>
          <w:rFonts w:cs="Arial"/>
        </w:rPr>
        <w:t>25</w:t>
      </w:r>
      <w:r w:rsidR="00113BE3" w:rsidRPr="00113BE3">
        <w:rPr>
          <w:rFonts w:cs="Arial"/>
        </w:rPr>
        <w:t>. Dividends--Common</w:t>
      </w:r>
    </w:p>
    <w:p w:rsidR="00113BE3" w:rsidRPr="00113BE3" w:rsidRDefault="00113BE3" w:rsidP="00113BE3">
      <w:pPr>
        <w:rPr>
          <w:rFonts w:eastAsiaTheme="minorEastAsia" w:cs="Arial"/>
          <w:sz w:val="16"/>
          <w:szCs w:val="16"/>
        </w:rPr>
      </w:pPr>
    </w:p>
    <w:p w:rsidR="00113BE3" w:rsidRPr="00113BE3" w:rsidRDefault="00113BE3" w:rsidP="00113BE3">
      <w:pPr>
        <w:rPr>
          <w:rFonts w:eastAsiaTheme="minorEastAsia" w:cs="Arial"/>
          <w:b/>
        </w:rPr>
      </w:pPr>
      <w:r w:rsidRPr="00113BE3">
        <w:rPr>
          <w:rFonts w:eastAsiaTheme="minorEastAsia" w:cs="Arial"/>
          <w:b/>
        </w:rPr>
        <w:t>For question #</w:t>
      </w:r>
      <w:r w:rsidR="005D63F4">
        <w:rPr>
          <w:rFonts w:eastAsiaTheme="minorEastAsia" w:cs="Arial"/>
          <w:b/>
        </w:rPr>
        <w:t>2</w:t>
      </w:r>
      <w:r>
        <w:rPr>
          <w:rFonts w:eastAsiaTheme="minorEastAsia" w:cs="Arial"/>
          <w:b/>
        </w:rPr>
        <w:t>6</w:t>
      </w:r>
      <w:r w:rsidRPr="00113BE3">
        <w:rPr>
          <w:rFonts w:eastAsiaTheme="minorEastAsia" w:cs="Arial"/>
          <w:b/>
        </w:rPr>
        <w:t>, write the correct amount on your answer sheet.</w:t>
      </w:r>
    </w:p>
    <w:p w:rsidR="00113BE3" w:rsidRPr="00113BE3" w:rsidRDefault="00113BE3" w:rsidP="00113BE3">
      <w:pPr>
        <w:rPr>
          <w:rFonts w:eastAsiaTheme="minorEastAsia" w:cs="Arial"/>
          <w:sz w:val="16"/>
          <w:szCs w:val="16"/>
        </w:rPr>
      </w:pPr>
    </w:p>
    <w:p w:rsidR="00113BE3" w:rsidRPr="00113BE3" w:rsidRDefault="005D63F4" w:rsidP="00153811">
      <w:pPr>
        <w:rPr>
          <w:rFonts w:eastAsiaTheme="minorEastAsia" w:cs="Arial"/>
        </w:rPr>
      </w:pPr>
      <w:r>
        <w:rPr>
          <w:rFonts w:eastAsiaTheme="minorEastAsia" w:cs="Arial"/>
        </w:rPr>
        <w:t>2</w:t>
      </w:r>
      <w:r w:rsidR="00113BE3">
        <w:rPr>
          <w:rFonts w:eastAsiaTheme="minorEastAsia" w:cs="Arial"/>
        </w:rPr>
        <w:t>6</w:t>
      </w:r>
      <w:r w:rsidR="00113BE3" w:rsidRPr="00113BE3">
        <w:rPr>
          <w:rFonts w:eastAsiaTheme="minorEastAsia" w:cs="Arial"/>
        </w:rPr>
        <w:t xml:space="preserve">. Consider that there was only one issuance of common stock in the year 2014.  By </w:t>
      </w:r>
    </w:p>
    <w:p w:rsidR="00113BE3" w:rsidRDefault="00113BE3" w:rsidP="00113BE3">
      <w:pPr>
        <w:rPr>
          <w:rFonts w:eastAsiaTheme="minorEastAsia" w:cs="Arial"/>
        </w:rPr>
      </w:pPr>
      <w:r w:rsidRPr="00113BE3">
        <w:rPr>
          <w:rFonts w:eastAsiaTheme="minorEastAsia" w:cs="Arial"/>
        </w:rPr>
        <w:tab/>
      </w:r>
      <w:proofErr w:type="gramStart"/>
      <w:r w:rsidRPr="00113BE3">
        <w:rPr>
          <w:rFonts w:eastAsiaTheme="minorEastAsia" w:cs="Arial"/>
        </w:rPr>
        <w:t>what</w:t>
      </w:r>
      <w:proofErr w:type="gramEnd"/>
      <w:r w:rsidRPr="00113BE3">
        <w:rPr>
          <w:rFonts w:eastAsiaTheme="minorEastAsia" w:cs="Arial"/>
        </w:rPr>
        <w:t xml:space="preserve"> dollar amount per share were those common shares issued?</w:t>
      </w:r>
    </w:p>
    <w:p w:rsidR="00113BE3" w:rsidRPr="009D362A" w:rsidRDefault="000558D8" w:rsidP="00113BE3">
      <w:pPr>
        <w:rPr>
          <w:rFonts w:eastAsiaTheme="minorEastAsia" w:cs="Arial"/>
          <w:b/>
          <w:u w:val="single"/>
        </w:rPr>
      </w:pPr>
      <w:r>
        <w:rPr>
          <w:rFonts w:eastAsiaTheme="minorEastAsia" w:cs="Arial"/>
          <w:b/>
          <w:u w:val="single"/>
        </w:rPr>
        <w:lastRenderedPageBreak/>
        <w:t>Group 4</w:t>
      </w:r>
    </w:p>
    <w:p w:rsidR="009D362A" w:rsidRPr="00213AD3" w:rsidRDefault="009D362A" w:rsidP="009D362A">
      <w:pPr>
        <w:jc w:val="both"/>
        <w:rPr>
          <w:rFonts w:cs="Arial"/>
          <w:b/>
          <w:bCs/>
        </w:rPr>
      </w:pPr>
      <w:r>
        <w:rPr>
          <w:rFonts w:cs="Arial"/>
          <w:b/>
          <w:bCs/>
        </w:rPr>
        <w:t>Tinkerbell</w:t>
      </w:r>
      <w:r w:rsidRPr="00213AD3">
        <w:rPr>
          <w:rFonts w:cs="Arial"/>
          <w:b/>
          <w:bCs/>
        </w:rPr>
        <w:t>, Inc. estimated its corporate federal income tax for the year 201</w:t>
      </w:r>
      <w:r>
        <w:rPr>
          <w:rFonts w:cs="Arial"/>
          <w:b/>
          <w:bCs/>
        </w:rPr>
        <w:t>5</w:t>
      </w:r>
      <w:r w:rsidRPr="00213AD3">
        <w:rPr>
          <w:rFonts w:cs="Arial"/>
          <w:b/>
          <w:bCs/>
        </w:rPr>
        <w:t xml:space="preserve">.  </w:t>
      </w:r>
      <w:r>
        <w:rPr>
          <w:rFonts w:cs="Arial"/>
          <w:b/>
          <w:bCs/>
        </w:rPr>
        <w:t>Tinkerbell</w:t>
      </w:r>
      <w:r w:rsidRPr="00213AD3">
        <w:rPr>
          <w:rFonts w:cs="Arial"/>
          <w:b/>
          <w:bCs/>
        </w:rPr>
        <w:t xml:space="preserve"> made four payments to the </w:t>
      </w:r>
      <w:smartTag w:uri="urn:schemas-microsoft-com:office:smarttags" w:element="stockticker">
        <w:r w:rsidRPr="00213AD3">
          <w:rPr>
            <w:rFonts w:cs="Arial"/>
            <w:b/>
            <w:bCs/>
          </w:rPr>
          <w:t>IRS</w:t>
        </w:r>
      </w:smartTag>
      <w:r w:rsidRPr="00213AD3">
        <w:rPr>
          <w:rFonts w:cs="Arial"/>
          <w:b/>
          <w:bCs/>
        </w:rPr>
        <w:t xml:space="preserve"> in 201</w:t>
      </w:r>
      <w:r>
        <w:rPr>
          <w:rFonts w:cs="Arial"/>
          <w:b/>
          <w:bCs/>
        </w:rPr>
        <w:t>5</w:t>
      </w:r>
      <w:r w:rsidRPr="00213AD3">
        <w:rPr>
          <w:rFonts w:cs="Arial"/>
          <w:b/>
          <w:bCs/>
        </w:rPr>
        <w:t xml:space="preserve"> for $</w:t>
      </w:r>
      <w:r>
        <w:rPr>
          <w:rFonts w:cs="Arial"/>
          <w:b/>
          <w:bCs/>
        </w:rPr>
        <w:t>18</w:t>
      </w:r>
      <w:r w:rsidRPr="00213AD3">
        <w:rPr>
          <w:rFonts w:cs="Arial"/>
          <w:b/>
          <w:bCs/>
        </w:rPr>
        <w:t>,</w:t>
      </w:r>
      <w:r>
        <w:rPr>
          <w:rFonts w:cs="Arial"/>
          <w:b/>
          <w:bCs/>
        </w:rPr>
        <w:t>75</w:t>
      </w:r>
      <w:r w:rsidRPr="00213AD3">
        <w:rPr>
          <w:rFonts w:cs="Arial"/>
          <w:b/>
          <w:bCs/>
        </w:rPr>
        <w:t>0 each and debited Federal Income Tax Expense and credited Cash in Bank for each payment.</w:t>
      </w:r>
    </w:p>
    <w:p w:rsidR="009D362A" w:rsidRPr="00213AD3" w:rsidRDefault="009D362A" w:rsidP="009D362A">
      <w:pPr>
        <w:rPr>
          <w:b/>
          <w:bCs/>
          <w:sz w:val="16"/>
          <w:szCs w:val="16"/>
        </w:rPr>
      </w:pPr>
    </w:p>
    <w:p w:rsidR="009D362A" w:rsidRPr="00213AD3" w:rsidRDefault="009D362A" w:rsidP="009D362A">
      <w:pPr>
        <w:jc w:val="both"/>
        <w:rPr>
          <w:b/>
          <w:bCs/>
        </w:rPr>
      </w:pPr>
      <w:r w:rsidRPr="00213AD3">
        <w:rPr>
          <w:b/>
          <w:bCs/>
        </w:rPr>
        <w:t xml:space="preserve">The CPA for </w:t>
      </w:r>
      <w:r>
        <w:rPr>
          <w:b/>
          <w:bCs/>
        </w:rPr>
        <w:t>Tinkerbell</w:t>
      </w:r>
      <w:r w:rsidRPr="00213AD3">
        <w:rPr>
          <w:b/>
          <w:bCs/>
        </w:rPr>
        <w:t xml:space="preserve"> prepared an end-of-year (12-31-1</w:t>
      </w:r>
      <w:r>
        <w:rPr>
          <w:b/>
          <w:bCs/>
        </w:rPr>
        <w:t>5</w:t>
      </w:r>
      <w:r w:rsidRPr="00213AD3">
        <w:rPr>
          <w:b/>
          <w:bCs/>
        </w:rPr>
        <w:t xml:space="preserve">) work sheet.  In a separate calculation, the CPA determined the Income Statement column totals </w:t>
      </w:r>
      <w:r w:rsidRPr="00213AD3">
        <w:rPr>
          <w:b/>
          <w:bCs/>
          <w:u w:val="single"/>
        </w:rPr>
        <w:t>excluding</w:t>
      </w:r>
      <w:r w:rsidRPr="00213AD3">
        <w:rPr>
          <w:b/>
          <w:bCs/>
        </w:rPr>
        <w:t xml:space="preserve"> Federal Income Tax Expense, thus arriving at net income before federal income tax expense as follows:  Income Statement Debit column subtotal of $</w:t>
      </w:r>
      <w:r>
        <w:rPr>
          <w:b/>
          <w:bCs/>
        </w:rPr>
        <w:t>730,012</w:t>
      </w:r>
      <w:r w:rsidRPr="00213AD3">
        <w:rPr>
          <w:b/>
          <w:bCs/>
        </w:rPr>
        <w:t xml:space="preserve"> and an Income Statement Credit column subtotal of $</w:t>
      </w:r>
      <w:r>
        <w:rPr>
          <w:b/>
          <w:bCs/>
        </w:rPr>
        <w:t>994,312</w:t>
      </w:r>
      <w:r w:rsidRPr="00213AD3">
        <w:rPr>
          <w:b/>
          <w:bCs/>
        </w:rPr>
        <w:t xml:space="preserve">.  </w:t>
      </w:r>
    </w:p>
    <w:p w:rsidR="009D362A" w:rsidRPr="00213AD3" w:rsidRDefault="009D362A" w:rsidP="009D362A">
      <w:pPr>
        <w:rPr>
          <w:b/>
          <w:bCs/>
          <w:sz w:val="16"/>
          <w:szCs w:val="16"/>
        </w:rPr>
      </w:pPr>
    </w:p>
    <w:p w:rsidR="009D362A" w:rsidRPr="00213AD3" w:rsidRDefault="009D362A" w:rsidP="009D362A">
      <w:pPr>
        <w:rPr>
          <w:b/>
          <w:bCs/>
        </w:rPr>
      </w:pPr>
      <w:r w:rsidRPr="00213AD3">
        <w:rPr>
          <w:b/>
          <w:bCs/>
        </w:rPr>
        <w:t>The corporate federal income tax rates for 201</w:t>
      </w:r>
      <w:r>
        <w:rPr>
          <w:b/>
          <w:bCs/>
        </w:rPr>
        <w:t>5</w:t>
      </w:r>
      <w:r w:rsidRPr="00213AD3">
        <w:rPr>
          <w:b/>
          <w:bCs/>
        </w:rPr>
        <w:t xml:space="preserve"> are as follows:</w:t>
      </w:r>
    </w:p>
    <w:p w:rsidR="009D362A" w:rsidRPr="00213AD3" w:rsidRDefault="009D362A" w:rsidP="009D362A">
      <w:pPr>
        <w:rPr>
          <w:b/>
          <w:bCs/>
          <w:sz w:val="16"/>
          <w:szCs w:val="16"/>
        </w:rPr>
      </w:pP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2618"/>
      </w:tblGrid>
      <w:tr w:rsidR="009D362A" w:rsidRPr="00213AD3" w:rsidTr="003A5E33">
        <w:tc>
          <w:tcPr>
            <w:tcW w:w="4488" w:type="dxa"/>
          </w:tcPr>
          <w:p w:rsidR="009D362A" w:rsidRPr="00213AD3" w:rsidRDefault="009D362A" w:rsidP="003A5E33">
            <w:pPr>
              <w:rPr>
                <w:b/>
                <w:bCs/>
              </w:rPr>
            </w:pPr>
            <w:r w:rsidRPr="00213AD3">
              <w:rPr>
                <w:b/>
                <w:bCs/>
              </w:rPr>
              <w:t>15% of net income before taxes</w:t>
            </w:r>
          </w:p>
        </w:tc>
        <w:tc>
          <w:tcPr>
            <w:tcW w:w="2618" w:type="dxa"/>
          </w:tcPr>
          <w:p w:rsidR="009D362A" w:rsidRPr="00213AD3" w:rsidRDefault="009D362A" w:rsidP="003A5E33">
            <w:pPr>
              <w:rPr>
                <w:b/>
                <w:bCs/>
              </w:rPr>
            </w:pPr>
            <w:r w:rsidRPr="00213AD3">
              <w:rPr>
                <w:b/>
                <w:bCs/>
              </w:rPr>
              <w:t>Zero to $50,000</w:t>
            </w:r>
          </w:p>
        </w:tc>
      </w:tr>
      <w:tr w:rsidR="009D362A" w:rsidRPr="00213AD3" w:rsidTr="003A5E33">
        <w:tc>
          <w:tcPr>
            <w:tcW w:w="4488" w:type="dxa"/>
          </w:tcPr>
          <w:p w:rsidR="009D362A" w:rsidRPr="00213AD3" w:rsidRDefault="009D362A" w:rsidP="003A5E33">
            <w:pPr>
              <w:rPr>
                <w:b/>
                <w:bCs/>
              </w:rPr>
            </w:pPr>
            <w:r w:rsidRPr="00213AD3">
              <w:rPr>
                <w:b/>
                <w:bCs/>
              </w:rPr>
              <w:t>Plus 25% of net income before taxes</w:t>
            </w:r>
          </w:p>
        </w:tc>
        <w:tc>
          <w:tcPr>
            <w:tcW w:w="2618" w:type="dxa"/>
          </w:tcPr>
          <w:p w:rsidR="009D362A" w:rsidRPr="00213AD3" w:rsidRDefault="009D362A" w:rsidP="003A5E33">
            <w:pPr>
              <w:rPr>
                <w:b/>
                <w:bCs/>
              </w:rPr>
            </w:pPr>
            <w:r w:rsidRPr="00213AD3">
              <w:rPr>
                <w:b/>
                <w:bCs/>
              </w:rPr>
              <w:t>$50,000 to $75,000</w:t>
            </w:r>
          </w:p>
        </w:tc>
      </w:tr>
      <w:tr w:rsidR="009D362A" w:rsidRPr="00213AD3" w:rsidTr="003A5E33">
        <w:tc>
          <w:tcPr>
            <w:tcW w:w="4488" w:type="dxa"/>
          </w:tcPr>
          <w:p w:rsidR="009D362A" w:rsidRPr="00213AD3" w:rsidRDefault="009D362A" w:rsidP="003A5E33">
            <w:pPr>
              <w:rPr>
                <w:b/>
                <w:bCs/>
              </w:rPr>
            </w:pPr>
            <w:r w:rsidRPr="00213AD3">
              <w:rPr>
                <w:b/>
                <w:bCs/>
              </w:rPr>
              <w:t>Plus 34% of net income before taxes</w:t>
            </w:r>
          </w:p>
        </w:tc>
        <w:tc>
          <w:tcPr>
            <w:tcW w:w="2618" w:type="dxa"/>
          </w:tcPr>
          <w:p w:rsidR="009D362A" w:rsidRPr="00213AD3" w:rsidRDefault="009D362A" w:rsidP="003A5E33">
            <w:pPr>
              <w:rPr>
                <w:b/>
                <w:bCs/>
              </w:rPr>
            </w:pPr>
            <w:r w:rsidRPr="00213AD3">
              <w:rPr>
                <w:b/>
                <w:bCs/>
              </w:rPr>
              <w:t>$75,000 to $100,000</w:t>
            </w:r>
          </w:p>
        </w:tc>
      </w:tr>
      <w:tr w:rsidR="009D362A" w:rsidRPr="00213AD3" w:rsidTr="003A5E33">
        <w:tc>
          <w:tcPr>
            <w:tcW w:w="4488" w:type="dxa"/>
          </w:tcPr>
          <w:p w:rsidR="009D362A" w:rsidRPr="00213AD3" w:rsidRDefault="009D362A" w:rsidP="003A5E33">
            <w:pPr>
              <w:rPr>
                <w:b/>
                <w:bCs/>
              </w:rPr>
            </w:pPr>
            <w:r w:rsidRPr="00213AD3">
              <w:rPr>
                <w:b/>
                <w:bCs/>
              </w:rPr>
              <w:t>Plus 39% of net income before taxes</w:t>
            </w:r>
          </w:p>
        </w:tc>
        <w:tc>
          <w:tcPr>
            <w:tcW w:w="2618" w:type="dxa"/>
          </w:tcPr>
          <w:p w:rsidR="009D362A" w:rsidRPr="00213AD3" w:rsidRDefault="009D362A" w:rsidP="003A5E33">
            <w:pPr>
              <w:rPr>
                <w:b/>
                <w:bCs/>
              </w:rPr>
            </w:pPr>
            <w:r w:rsidRPr="00213AD3">
              <w:rPr>
                <w:b/>
                <w:bCs/>
              </w:rPr>
              <w:t>$100,000 to $335,000</w:t>
            </w:r>
          </w:p>
        </w:tc>
      </w:tr>
      <w:tr w:rsidR="009D362A" w:rsidRPr="00213AD3" w:rsidTr="003A5E33">
        <w:tc>
          <w:tcPr>
            <w:tcW w:w="4488" w:type="dxa"/>
          </w:tcPr>
          <w:p w:rsidR="009D362A" w:rsidRPr="00213AD3" w:rsidRDefault="009D362A" w:rsidP="003A5E33">
            <w:pPr>
              <w:rPr>
                <w:b/>
                <w:bCs/>
              </w:rPr>
            </w:pPr>
            <w:r w:rsidRPr="00213AD3">
              <w:rPr>
                <w:b/>
                <w:bCs/>
              </w:rPr>
              <w:t xml:space="preserve">Plus 34% of net income before taxes </w:t>
            </w:r>
          </w:p>
        </w:tc>
        <w:tc>
          <w:tcPr>
            <w:tcW w:w="2618" w:type="dxa"/>
          </w:tcPr>
          <w:p w:rsidR="009D362A" w:rsidRPr="00213AD3" w:rsidRDefault="009D362A" w:rsidP="003A5E33">
            <w:pPr>
              <w:rPr>
                <w:b/>
                <w:bCs/>
              </w:rPr>
            </w:pPr>
            <w:r w:rsidRPr="00213AD3">
              <w:rPr>
                <w:b/>
                <w:bCs/>
              </w:rPr>
              <w:t>Over $335,000</w:t>
            </w:r>
          </w:p>
        </w:tc>
      </w:tr>
    </w:tbl>
    <w:p w:rsidR="009D362A" w:rsidRPr="00213AD3" w:rsidRDefault="009D362A" w:rsidP="009D362A">
      <w:pPr>
        <w:rPr>
          <w:b/>
          <w:bCs/>
          <w:sz w:val="16"/>
          <w:szCs w:val="16"/>
        </w:rPr>
      </w:pPr>
    </w:p>
    <w:p w:rsidR="009D362A" w:rsidRPr="00213AD3" w:rsidRDefault="009D362A" w:rsidP="00784922">
      <w:pPr>
        <w:jc w:val="both"/>
        <w:rPr>
          <w:b/>
          <w:bCs/>
        </w:rPr>
      </w:pPr>
      <w:r w:rsidRPr="00213AD3">
        <w:rPr>
          <w:b/>
          <w:bCs/>
        </w:rPr>
        <w:t xml:space="preserve">For questions </w:t>
      </w:r>
      <w:r w:rsidR="005D63F4">
        <w:rPr>
          <w:b/>
          <w:bCs/>
        </w:rPr>
        <w:t>2</w:t>
      </w:r>
      <w:r>
        <w:rPr>
          <w:b/>
          <w:bCs/>
        </w:rPr>
        <w:t>7</w:t>
      </w:r>
      <w:r w:rsidRPr="00213AD3">
        <w:rPr>
          <w:b/>
          <w:bCs/>
        </w:rPr>
        <w:t xml:space="preserve"> through </w:t>
      </w:r>
      <w:r w:rsidR="005D63F4">
        <w:rPr>
          <w:b/>
          <w:bCs/>
        </w:rPr>
        <w:t>3</w:t>
      </w:r>
      <w:r>
        <w:rPr>
          <w:b/>
          <w:bCs/>
        </w:rPr>
        <w:t>2</w:t>
      </w:r>
      <w:r w:rsidRPr="00213AD3">
        <w:rPr>
          <w:b/>
          <w:bCs/>
        </w:rPr>
        <w:t>, write the identifying letter of the best response on your answer sheet.</w:t>
      </w:r>
    </w:p>
    <w:p w:rsidR="009D362A" w:rsidRPr="00213AD3" w:rsidRDefault="009D362A" w:rsidP="009D362A">
      <w:pPr>
        <w:rPr>
          <w:sz w:val="16"/>
          <w:szCs w:val="16"/>
        </w:rPr>
      </w:pPr>
    </w:p>
    <w:p w:rsidR="009D362A" w:rsidRPr="00213AD3" w:rsidRDefault="005D63F4" w:rsidP="009D362A">
      <w:r>
        <w:t>2</w:t>
      </w:r>
      <w:r w:rsidR="009D362A">
        <w:t>7</w:t>
      </w:r>
      <w:r w:rsidR="009D362A" w:rsidRPr="00213AD3">
        <w:t>. What is the total amount of corporate Federal Income Tax Expense that the</w:t>
      </w:r>
    </w:p>
    <w:p w:rsidR="009D362A" w:rsidRPr="00213AD3" w:rsidRDefault="009D362A" w:rsidP="009D362A">
      <w:r w:rsidRPr="00213AD3">
        <w:t xml:space="preserve">      corporation will report on its Income Statement for the year ended 12-31-1</w:t>
      </w:r>
      <w:r>
        <w:t>5</w:t>
      </w:r>
      <w:r w:rsidRPr="00213AD3">
        <w:t>?</w:t>
      </w:r>
    </w:p>
    <w:p w:rsidR="009D362A" w:rsidRPr="006A3987" w:rsidRDefault="009D362A" w:rsidP="009D362A">
      <w:r>
        <w:rPr>
          <w:sz w:val="16"/>
          <w:szCs w:val="16"/>
        </w:rPr>
        <w:tab/>
      </w:r>
      <w:r>
        <w:t>A. $11,327     B. $75,000     C. $86,327     D. $89,862     E. $103,077</w:t>
      </w:r>
    </w:p>
    <w:p w:rsidR="009D362A" w:rsidRDefault="009D362A" w:rsidP="009D362A">
      <w:pPr>
        <w:rPr>
          <w:sz w:val="16"/>
          <w:szCs w:val="16"/>
        </w:rPr>
      </w:pPr>
    </w:p>
    <w:p w:rsidR="009D362A" w:rsidRPr="00213AD3" w:rsidRDefault="009D362A" w:rsidP="009D362A">
      <w:pPr>
        <w:rPr>
          <w:sz w:val="16"/>
          <w:szCs w:val="16"/>
        </w:rPr>
      </w:pPr>
    </w:p>
    <w:p w:rsidR="009D362A" w:rsidRPr="00213AD3" w:rsidRDefault="005D63F4" w:rsidP="009D362A">
      <w:pPr>
        <w:tabs>
          <w:tab w:val="left" w:pos="432"/>
        </w:tabs>
      </w:pPr>
      <w:r>
        <w:t>2</w:t>
      </w:r>
      <w:r w:rsidR="009D362A">
        <w:t>8</w:t>
      </w:r>
      <w:r w:rsidR="009D362A" w:rsidRPr="00213AD3">
        <w:t>. The adjusting journal entry for corporate federal income tax expense for 201</w:t>
      </w:r>
      <w:r w:rsidR="009D362A">
        <w:t>5</w:t>
      </w:r>
    </w:p>
    <w:p w:rsidR="009D362A" w:rsidRPr="00213AD3" w:rsidRDefault="009D362A" w:rsidP="009D362A">
      <w:pPr>
        <w:tabs>
          <w:tab w:val="left" w:pos="432"/>
        </w:tabs>
      </w:pPr>
      <w:r w:rsidRPr="00213AD3">
        <w:t xml:space="preserve">       includes a:</w:t>
      </w:r>
    </w:p>
    <w:p w:rsidR="009D362A" w:rsidRPr="00213AD3" w:rsidRDefault="009D362A" w:rsidP="009D362A">
      <w:pPr>
        <w:tabs>
          <w:tab w:val="left" w:pos="432"/>
        </w:tabs>
      </w:pPr>
      <w:r w:rsidRPr="00213AD3">
        <w:t xml:space="preserve">      </w:t>
      </w:r>
      <w:r>
        <w:t>A</w:t>
      </w:r>
      <w:r w:rsidRPr="00213AD3">
        <w:t>. debit to Cash in Bank</w:t>
      </w:r>
    </w:p>
    <w:p w:rsidR="009D362A" w:rsidRPr="00213AD3" w:rsidRDefault="009D362A" w:rsidP="009D362A">
      <w:pPr>
        <w:tabs>
          <w:tab w:val="left" w:pos="432"/>
        </w:tabs>
      </w:pPr>
      <w:r w:rsidRPr="00213AD3">
        <w:t xml:space="preserve">      </w:t>
      </w:r>
      <w:r>
        <w:t>B</w:t>
      </w:r>
      <w:r w:rsidRPr="00213AD3">
        <w:t>. credit to Federal Income Tax Payable</w:t>
      </w:r>
      <w:r w:rsidRPr="00213AD3">
        <w:tab/>
      </w:r>
    </w:p>
    <w:p w:rsidR="009D362A" w:rsidRPr="00213AD3" w:rsidRDefault="009D362A" w:rsidP="009D362A">
      <w:pPr>
        <w:tabs>
          <w:tab w:val="left" w:pos="432"/>
        </w:tabs>
      </w:pPr>
      <w:r w:rsidRPr="00213AD3">
        <w:t xml:space="preserve">      </w:t>
      </w:r>
      <w:r>
        <w:t>C</w:t>
      </w:r>
      <w:r w:rsidRPr="00213AD3">
        <w:t>. debit to Federal Income Tax Payable</w:t>
      </w:r>
    </w:p>
    <w:p w:rsidR="009D362A" w:rsidRPr="00213AD3" w:rsidRDefault="009D362A" w:rsidP="009D362A">
      <w:pPr>
        <w:tabs>
          <w:tab w:val="left" w:pos="432"/>
        </w:tabs>
      </w:pPr>
      <w:r w:rsidRPr="00213AD3">
        <w:t xml:space="preserve">      </w:t>
      </w:r>
      <w:r>
        <w:t>D</w:t>
      </w:r>
      <w:r w:rsidRPr="00213AD3">
        <w:t>. credit to Federal Income Tax Expense</w:t>
      </w:r>
      <w:r w:rsidRPr="00213AD3">
        <w:tab/>
      </w:r>
    </w:p>
    <w:p w:rsidR="009D362A" w:rsidRPr="00213AD3" w:rsidRDefault="009D362A" w:rsidP="009D362A">
      <w:pPr>
        <w:tabs>
          <w:tab w:val="left" w:pos="432"/>
        </w:tabs>
        <w:rPr>
          <w:sz w:val="16"/>
          <w:szCs w:val="16"/>
        </w:rPr>
      </w:pPr>
    </w:p>
    <w:p w:rsidR="009D362A" w:rsidRPr="00213AD3" w:rsidRDefault="005D63F4" w:rsidP="009D362A">
      <w:r>
        <w:t>2</w:t>
      </w:r>
      <w:r w:rsidR="009D362A">
        <w:t>9</w:t>
      </w:r>
      <w:r w:rsidR="009D362A" w:rsidRPr="00213AD3">
        <w:t>. What is the balance of Federal Income Tax Payable after the 12-31-1</w:t>
      </w:r>
      <w:r w:rsidR="009D362A">
        <w:t>5</w:t>
      </w:r>
      <w:r w:rsidR="009D362A" w:rsidRPr="00213AD3">
        <w:t xml:space="preserve"> </w:t>
      </w:r>
      <w:proofErr w:type="gramStart"/>
      <w:r w:rsidR="009D362A" w:rsidRPr="00213AD3">
        <w:t>adjustment</w:t>
      </w:r>
      <w:proofErr w:type="gramEnd"/>
    </w:p>
    <w:p w:rsidR="009D362A" w:rsidRDefault="009D362A" w:rsidP="009D362A">
      <w:r w:rsidRPr="00213AD3">
        <w:t xml:space="preserve">      is posted?</w:t>
      </w:r>
    </w:p>
    <w:p w:rsidR="009D362A" w:rsidRPr="00213AD3" w:rsidRDefault="009D362A" w:rsidP="009D362A">
      <w:r>
        <w:tab/>
        <w:t>A. zero     B. $11,327     C. $28,077     D. $75,000     E. $86,327     F. $103,077</w:t>
      </w:r>
    </w:p>
    <w:p w:rsidR="009D362A" w:rsidRPr="00213AD3" w:rsidRDefault="009D362A" w:rsidP="009D362A">
      <w:pPr>
        <w:rPr>
          <w:sz w:val="16"/>
          <w:szCs w:val="16"/>
        </w:rPr>
      </w:pPr>
    </w:p>
    <w:p w:rsidR="009D362A" w:rsidRPr="00213AD3" w:rsidRDefault="005D63F4" w:rsidP="009D362A">
      <w:r>
        <w:t>3</w:t>
      </w:r>
      <w:r w:rsidR="009D362A">
        <w:t>0</w:t>
      </w:r>
      <w:r w:rsidR="009D362A" w:rsidRPr="00213AD3">
        <w:t>. Federal Income Tax Payable is classified on the financial statements as a/an</w:t>
      </w:r>
    </w:p>
    <w:p w:rsidR="009D362A" w:rsidRPr="00213AD3" w:rsidRDefault="009D362A" w:rsidP="009D362A">
      <w:r w:rsidRPr="00213AD3">
        <w:t xml:space="preserve">      A. income tax expense item</w:t>
      </w:r>
      <w:r w:rsidRPr="00213AD3">
        <w:tab/>
      </w:r>
      <w:r w:rsidRPr="00213AD3">
        <w:tab/>
        <w:t>C. deferred revenue</w:t>
      </w:r>
    </w:p>
    <w:p w:rsidR="009D362A" w:rsidRPr="00213AD3" w:rsidRDefault="009D362A" w:rsidP="009D362A">
      <w:r w:rsidRPr="00213AD3">
        <w:t xml:space="preserve">      B. long-term liability</w:t>
      </w:r>
      <w:r w:rsidRPr="00213AD3">
        <w:tab/>
      </w:r>
      <w:r w:rsidRPr="00213AD3">
        <w:tab/>
      </w:r>
      <w:r w:rsidRPr="00213AD3">
        <w:tab/>
      </w:r>
      <w:r w:rsidRPr="00213AD3">
        <w:tab/>
        <w:t>D. current liability</w:t>
      </w:r>
    </w:p>
    <w:p w:rsidR="009D362A" w:rsidRPr="00213AD3" w:rsidRDefault="009D362A" w:rsidP="009D362A">
      <w:pPr>
        <w:rPr>
          <w:sz w:val="16"/>
          <w:szCs w:val="16"/>
        </w:rPr>
      </w:pPr>
    </w:p>
    <w:p w:rsidR="00D679C8" w:rsidRDefault="009D362A" w:rsidP="009D362A">
      <w:pPr>
        <w:ind w:hanging="90"/>
      </w:pPr>
      <w:r w:rsidRPr="00213AD3">
        <w:t>*</w:t>
      </w:r>
      <w:r w:rsidR="005D63F4">
        <w:t>3</w:t>
      </w:r>
      <w:r>
        <w:t>1</w:t>
      </w:r>
      <w:r w:rsidRPr="00213AD3">
        <w:t xml:space="preserve">. What </w:t>
      </w:r>
      <w:proofErr w:type="gramStart"/>
      <w:r w:rsidRPr="00213AD3">
        <w:t xml:space="preserve">is </w:t>
      </w:r>
      <w:r w:rsidR="00D679C8">
        <w:t>“</w:t>
      </w:r>
      <w:r w:rsidRPr="00213AD3">
        <w:t>Net Income after Federal Income Tax</w:t>
      </w:r>
      <w:r w:rsidR="00D679C8">
        <w:t>”</w:t>
      </w:r>
      <w:proofErr w:type="gramEnd"/>
      <w:r w:rsidRPr="00213AD3">
        <w:t xml:space="preserve"> as reported on the income</w:t>
      </w:r>
    </w:p>
    <w:p w:rsidR="009D362A" w:rsidRDefault="00D679C8" w:rsidP="00D679C8">
      <w:pPr>
        <w:ind w:hanging="90"/>
      </w:pPr>
      <w:r>
        <w:tab/>
      </w:r>
      <w:r>
        <w:tab/>
      </w:r>
      <w:proofErr w:type="gramStart"/>
      <w:r w:rsidR="009D362A" w:rsidRPr="00213AD3">
        <w:t>statement</w:t>
      </w:r>
      <w:proofErr w:type="gramEnd"/>
      <w:r w:rsidR="009D362A" w:rsidRPr="00213AD3">
        <w:t xml:space="preserve"> for the year ended 12-31-1</w:t>
      </w:r>
      <w:r w:rsidR="009D362A">
        <w:t>5</w:t>
      </w:r>
      <w:r w:rsidR="009D362A" w:rsidRPr="00213AD3">
        <w:t>?</w:t>
      </w:r>
    </w:p>
    <w:p w:rsidR="009D362A" w:rsidRPr="00213AD3" w:rsidRDefault="009D362A" w:rsidP="009D362A">
      <w:r>
        <w:tab/>
        <w:t>A. $161,223     B. $174,438     C. $177,973     D. $189,300     E. $207,223</w:t>
      </w:r>
    </w:p>
    <w:p w:rsidR="009D362A" w:rsidRDefault="009D362A" w:rsidP="009D362A">
      <w:pPr>
        <w:rPr>
          <w:sz w:val="16"/>
          <w:szCs w:val="16"/>
        </w:rPr>
      </w:pPr>
    </w:p>
    <w:p w:rsidR="00D679C8" w:rsidRDefault="009D362A" w:rsidP="009D362A">
      <w:pPr>
        <w:ind w:hanging="90"/>
      </w:pPr>
      <w:r>
        <w:t>*</w:t>
      </w:r>
      <w:r w:rsidR="005D63F4">
        <w:t>3</w:t>
      </w:r>
      <w:r>
        <w:t>2</w:t>
      </w:r>
      <w:r w:rsidRPr="00213AD3">
        <w:t xml:space="preserve">. </w:t>
      </w:r>
      <w:r w:rsidR="00D679C8">
        <w:t>On the completed worksheet, w</w:t>
      </w:r>
      <w:r w:rsidRPr="00213AD3">
        <w:t xml:space="preserve">hat is the Income Statement Debit column </w:t>
      </w:r>
      <w:proofErr w:type="gramStart"/>
      <w:r w:rsidRPr="00D679C8">
        <w:t>subtotal</w:t>
      </w:r>
      <w:proofErr w:type="gramEnd"/>
    </w:p>
    <w:p w:rsidR="009D362A" w:rsidRPr="00213AD3" w:rsidRDefault="00D679C8" w:rsidP="00D679C8">
      <w:pPr>
        <w:ind w:hanging="90"/>
      </w:pPr>
      <w:r>
        <w:tab/>
      </w:r>
      <w:r>
        <w:tab/>
      </w:r>
      <w:proofErr w:type="gramStart"/>
      <w:r>
        <w:t>that</w:t>
      </w:r>
      <w:proofErr w:type="gramEnd"/>
      <w:r>
        <w:t xml:space="preserve"> appears above</w:t>
      </w:r>
      <w:r>
        <w:tab/>
        <w:t xml:space="preserve">the line called </w:t>
      </w:r>
      <w:r w:rsidR="00FC74E9">
        <w:t>“</w:t>
      </w:r>
      <w:r w:rsidR="009D362A" w:rsidRPr="00213AD3">
        <w:t xml:space="preserve">Net Income after </w:t>
      </w:r>
      <w:r w:rsidR="009D362A" w:rsidRPr="00213AD3">
        <w:tab/>
        <w:t>Federal Income Tax</w:t>
      </w:r>
      <w:r w:rsidR="00FC74E9">
        <w:t>”</w:t>
      </w:r>
      <w:r w:rsidR="009D362A" w:rsidRPr="00213AD3">
        <w:t>?</w:t>
      </w:r>
    </w:p>
    <w:p w:rsidR="009D362A" w:rsidRDefault="009D362A" w:rsidP="009D362A">
      <w:pPr>
        <w:pStyle w:val="NoSpacing"/>
        <w:rPr>
          <w:rFonts w:ascii="Arial" w:hAnsi="Arial" w:cs="Arial"/>
          <w:sz w:val="24"/>
          <w:szCs w:val="24"/>
        </w:rPr>
      </w:pPr>
      <w:r>
        <w:rPr>
          <w:rFonts w:ascii="Arial" w:hAnsi="Arial" w:cs="Arial"/>
          <w:sz w:val="24"/>
          <w:szCs w:val="24"/>
        </w:rPr>
        <w:tab/>
        <w:t>A. $730,012</w:t>
      </w:r>
      <w:r>
        <w:rPr>
          <w:rFonts w:ascii="Arial" w:hAnsi="Arial" w:cs="Arial"/>
          <w:sz w:val="24"/>
          <w:szCs w:val="24"/>
        </w:rPr>
        <w:tab/>
      </w:r>
      <w:r>
        <w:rPr>
          <w:rFonts w:ascii="Arial" w:hAnsi="Arial" w:cs="Arial"/>
          <w:sz w:val="24"/>
          <w:szCs w:val="24"/>
        </w:rPr>
        <w:tab/>
      </w:r>
      <w:r>
        <w:rPr>
          <w:rFonts w:ascii="Arial" w:hAnsi="Arial" w:cs="Arial"/>
          <w:sz w:val="24"/>
          <w:szCs w:val="24"/>
        </w:rPr>
        <w:tab/>
        <w:t>C. $805,012</w:t>
      </w:r>
      <w:r>
        <w:rPr>
          <w:rFonts w:ascii="Arial" w:hAnsi="Arial" w:cs="Arial"/>
          <w:sz w:val="24"/>
          <w:szCs w:val="24"/>
        </w:rPr>
        <w:tab/>
      </w:r>
      <w:r>
        <w:rPr>
          <w:rFonts w:ascii="Arial" w:hAnsi="Arial" w:cs="Arial"/>
          <w:sz w:val="24"/>
          <w:szCs w:val="24"/>
        </w:rPr>
        <w:tab/>
        <w:t>E. $819,874</w:t>
      </w:r>
    </w:p>
    <w:p w:rsidR="009D362A" w:rsidRPr="008A6815" w:rsidRDefault="009D362A" w:rsidP="009D362A">
      <w:pPr>
        <w:pStyle w:val="NoSpacing"/>
        <w:rPr>
          <w:rFonts w:ascii="Arial" w:hAnsi="Arial" w:cs="Arial"/>
          <w:sz w:val="24"/>
          <w:szCs w:val="24"/>
        </w:rPr>
      </w:pPr>
      <w:r>
        <w:rPr>
          <w:rFonts w:ascii="Arial" w:hAnsi="Arial" w:cs="Arial"/>
          <w:sz w:val="24"/>
          <w:szCs w:val="24"/>
        </w:rPr>
        <w:tab/>
        <w:t>B. $741,339</w:t>
      </w:r>
      <w:r>
        <w:rPr>
          <w:rFonts w:ascii="Arial" w:hAnsi="Arial" w:cs="Arial"/>
          <w:sz w:val="24"/>
          <w:szCs w:val="24"/>
        </w:rPr>
        <w:tab/>
      </w:r>
      <w:r>
        <w:rPr>
          <w:rFonts w:ascii="Arial" w:hAnsi="Arial" w:cs="Arial"/>
          <w:sz w:val="24"/>
          <w:szCs w:val="24"/>
        </w:rPr>
        <w:tab/>
      </w:r>
      <w:r>
        <w:rPr>
          <w:rFonts w:ascii="Arial" w:hAnsi="Arial" w:cs="Arial"/>
          <w:sz w:val="24"/>
          <w:szCs w:val="24"/>
        </w:rPr>
        <w:tab/>
        <w:t>D. $816,339</w:t>
      </w:r>
      <w:r>
        <w:rPr>
          <w:rFonts w:ascii="Arial" w:hAnsi="Arial" w:cs="Arial"/>
          <w:sz w:val="24"/>
          <w:szCs w:val="24"/>
        </w:rPr>
        <w:tab/>
      </w:r>
      <w:r>
        <w:rPr>
          <w:rFonts w:ascii="Arial" w:hAnsi="Arial" w:cs="Arial"/>
          <w:sz w:val="24"/>
          <w:szCs w:val="24"/>
        </w:rPr>
        <w:tab/>
        <w:t>F. $833,089</w:t>
      </w:r>
    </w:p>
    <w:p w:rsidR="00113BE3" w:rsidRDefault="00113BE3" w:rsidP="00113BE3">
      <w:pPr>
        <w:rPr>
          <w:rFonts w:eastAsiaTheme="minorEastAsia" w:cs="Arial"/>
        </w:rPr>
      </w:pPr>
    </w:p>
    <w:p w:rsidR="00D679C8" w:rsidRPr="00113BE3" w:rsidRDefault="00D679C8" w:rsidP="00113BE3">
      <w:pPr>
        <w:rPr>
          <w:rFonts w:eastAsiaTheme="minorEastAsia" w:cs="Arial"/>
        </w:rPr>
      </w:pPr>
    </w:p>
    <w:p w:rsidR="001806D3" w:rsidRPr="000C3E5D" w:rsidRDefault="000558D8" w:rsidP="008D6F0A">
      <w:pPr>
        <w:pStyle w:val="NoSpacing"/>
        <w:rPr>
          <w:rFonts w:ascii="Arial" w:hAnsi="Arial" w:cs="Arial"/>
          <w:b/>
          <w:sz w:val="24"/>
          <w:szCs w:val="24"/>
          <w:u w:val="single"/>
        </w:rPr>
      </w:pPr>
      <w:r>
        <w:rPr>
          <w:rFonts w:ascii="Arial" w:hAnsi="Arial" w:cs="Arial"/>
          <w:b/>
          <w:sz w:val="24"/>
          <w:szCs w:val="24"/>
          <w:u w:val="single"/>
        </w:rPr>
        <w:lastRenderedPageBreak/>
        <w:t>Group 5</w:t>
      </w:r>
    </w:p>
    <w:p w:rsidR="000C3E5D" w:rsidRPr="000C3E5D" w:rsidRDefault="000C3E5D" w:rsidP="000C3E5D">
      <w:pPr>
        <w:jc w:val="both"/>
        <w:rPr>
          <w:rFonts w:eastAsiaTheme="minorEastAsia" w:cs="Arial"/>
          <w:b/>
        </w:rPr>
      </w:pPr>
      <w:r w:rsidRPr="000C3E5D">
        <w:rPr>
          <w:rFonts w:eastAsiaTheme="minorEastAsia" w:cs="Arial"/>
          <w:b/>
        </w:rPr>
        <w:t>The accountant asked the payroll clerk to assist her with the annual financial statement analysis.  The payroll clerk was very proficient in all aspects of human resource accounting, but he was very unsure of the accounts needed to make the various analysis computations.  The following list is the information gathered by the clerk from the financial statements for the year ending December 31, 2015.</w:t>
      </w:r>
    </w:p>
    <w:p w:rsidR="000C3E5D" w:rsidRPr="00F050C6" w:rsidRDefault="000C3E5D" w:rsidP="000C3E5D">
      <w:pPr>
        <w:jc w:val="both"/>
        <w:rPr>
          <w:rFonts w:eastAsiaTheme="minorEastAsia" w:cs="Arial"/>
          <w:sz w:val="16"/>
          <w:szCs w:val="16"/>
        </w:rPr>
      </w:pPr>
    </w:p>
    <w:tbl>
      <w:tblPr>
        <w:tblStyle w:val="TableGrid"/>
        <w:tblW w:w="0" w:type="auto"/>
        <w:tblInd w:w="108" w:type="dxa"/>
        <w:tblLook w:val="04A0" w:firstRow="1" w:lastRow="0" w:firstColumn="1" w:lastColumn="0" w:noHBand="0" w:noVBand="1"/>
      </w:tblPr>
      <w:tblGrid>
        <w:gridCol w:w="2520"/>
        <w:gridCol w:w="1080"/>
        <w:gridCol w:w="270"/>
        <w:gridCol w:w="3150"/>
        <w:gridCol w:w="1350"/>
        <w:gridCol w:w="1098"/>
      </w:tblGrid>
      <w:tr w:rsidR="000C3E5D" w:rsidRPr="000C3E5D" w:rsidTr="000558D8">
        <w:trPr>
          <w:trHeight w:val="288"/>
        </w:trPr>
        <w:tc>
          <w:tcPr>
            <w:tcW w:w="2520" w:type="dxa"/>
            <w:tcBorders>
              <w:top w:val="nil"/>
              <w:left w:val="nil"/>
              <w:right w:val="single" w:sz="4" w:space="0" w:color="auto"/>
            </w:tcBorders>
            <w:vAlign w:val="center"/>
          </w:tcPr>
          <w:p w:rsidR="000C3E5D" w:rsidRPr="000C3E5D" w:rsidRDefault="000C3E5D" w:rsidP="000C3E5D">
            <w:pPr>
              <w:rPr>
                <w:rFonts w:eastAsiaTheme="minorEastAsia" w:cs="Arial"/>
                <w:sz w:val="22"/>
                <w:szCs w:val="22"/>
              </w:rPr>
            </w:pPr>
          </w:p>
        </w:tc>
        <w:tc>
          <w:tcPr>
            <w:tcW w:w="1080" w:type="dxa"/>
            <w:tcBorders>
              <w:top w:val="single" w:sz="4" w:space="0" w:color="auto"/>
              <w:left w:val="single" w:sz="4" w:space="0" w:color="auto"/>
              <w:right w:val="single" w:sz="4" w:space="0" w:color="auto"/>
            </w:tcBorders>
            <w:shd w:val="clear" w:color="auto" w:fill="BFBFBF" w:themeFill="background1" w:themeFillShade="BF"/>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Amount</w:t>
            </w:r>
          </w:p>
        </w:tc>
        <w:tc>
          <w:tcPr>
            <w:tcW w:w="270" w:type="dxa"/>
            <w:tcBorders>
              <w:top w:val="nil"/>
              <w:left w:val="single" w:sz="4" w:space="0" w:color="auto"/>
              <w:bottom w:val="single" w:sz="4" w:space="0" w:color="auto"/>
              <w:right w:val="nil"/>
            </w:tcBorders>
            <w:shd w:val="clear" w:color="auto" w:fill="auto"/>
            <w:vAlign w:val="center"/>
          </w:tcPr>
          <w:p w:rsidR="000C3E5D" w:rsidRPr="000C3E5D" w:rsidRDefault="000C3E5D" w:rsidP="000C3E5D">
            <w:pPr>
              <w:rPr>
                <w:rFonts w:eastAsiaTheme="minorEastAsia" w:cs="Arial"/>
              </w:rPr>
            </w:pPr>
          </w:p>
        </w:tc>
        <w:tc>
          <w:tcPr>
            <w:tcW w:w="3150" w:type="dxa"/>
            <w:tcBorders>
              <w:top w:val="nil"/>
              <w:left w:val="nil"/>
            </w:tcBorders>
            <w:vAlign w:val="center"/>
          </w:tcPr>
          <w:p w:rsidR="000C3E5D" w:rsidRPr="000C3E5D" w:rsidRDefault="000C3E5D" w:rsidP="000C3E5D">
            <w:pPr>
              <w:rPr>
                <w:rFonts w:eastAsiaTheme="minorEastAsia" w:cs="Arial"/>
              </w:rPr>
            </w:pPr>
          </w:p>
        </w:tc>
        <w:tc>
          <w:tcPr>
            <w:tcW w:w="1350" w:type="dxa"/>
            <w:shd w:val="clear" w:color="auto" w:fill="BFBFBF" w:themeFill="background1" w:themeFillShade="BF"/>
            <w:vAlign w:val="center"/>
          </w:tcPr>
          <w:p w:rsidR="000C3E5D" w:rsidRPr="000C3E5D" w:rsidRDefault="000C3E5D" w:rsidP="000C3E5D">
            <w:pPr>
              <w:jc w:val="center"/>
              <w:rPr>
                <w:rFonts w:eastAsiaTheme="minorEastAsia" w:cs="Arial"/>
                <w:sz w:val="22"/>
                <w:szCs w:val="22"/>
              </w:rPr>
            </w:pPr>
            <w:r w:rsidRPr="000C3E5D">
              <w:rPr>
                <w:rFonts w:eastAsiaTheme="minorEastAsia" w:cs="Arial"/>
                <w:sz w:val="22"/>
                <w:szCs w:val="22"/>
              </w:rPr>
              <w:t>Amount</w:t>
            </w:r>
          </w:p>
        </w:tc>
        <w:tc>
          <w:tcPr>
            <w:tcW w:w="1098" w:type="dxa"/>
            <w:shd w:val="clear" w:color="auto" w:fill="BFBFBF" w:themeFill="background1" w:themeFillShade="BF"/>
            <w:vAlign w:val="center"/>
          </w:tcPr>
          <w:p w:rsidR="000C3E5D" w:rsidRPr="000C3E5D" w:rsidRDefault="000C3E5D" w:rsidP="000C3E5D">
            <w:pPr>
              <w:jc w:val="center"/>
              <w:rPr>
                <w:rFonts w:eastAsiaTheme="minorEastAsia" w:cs="Arial"/>
                <w:sz w:val="22"/>
                <w:szCs w:val="22"/>
              </w:rPr>
            </w:pPr>
            <w:r w:rsidRPr="000C3E5D">
              <w:rPr>
                <w:rFonts w:eastAsiaTheme="minorEastAsia" w:cs="Arial"/>
                <w:sz w:val="22"/>
                <w:szCs w:val="22"/>
              </w:rPr>
              <w:t>Due Date</w:t>
            </w:r>
          </w:p>
        </w:tc>
      </w:tr>
      <w:tr w:rsidR="000C3E5D" w:rsidRPr="000C3E5D" w:rsidTr="000558D8">
        <w:tc>
          <w:tcPr>
            <w:tcW w:w="252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Change Fund</w:t>
            </w:r>
          </w:p>
        </w:tc>
        <w:tc>
          <w:tcPr>
            <w:tcW w:w="108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250</w:t>
            </w:r>
          </w:p>
        </w:tc>
        <w:tc>
          <w:tcPr>
            <w:tcW w:w="270" w:type="dxa"/>
            <w:tcBorders>
              <w:bottom w:val="nil"/>
            </w:tcBorders>
            <w:shd w:val="clear" w:color="auto" w:fill="BFBFBF" w:themeFill="background1" w:themeFillShade="BF"/>
            <w:vAlign w:val="center"/>
          </w:tcPr>
          <w:p w:rsidR="000C3E5D" w:rsidRPr="000C3E5D" w:rsidRDefault="000C3E5D" w:rsidP="000C3E5D">
            <w:pPr>
              <w:rPr>
                <w:rFonts w:eastAsiaTheme="minorEastAsia" w:cs="Arial"/>
              </w:rPr>
            </w:pPr>
          </w:p>
        </w:tc>
        <w:tc>
          <w:tcPr>
            <w:tcW w:w="315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Interest Payable</w:t>
            </w:r>
          </w:p>
        </w:tc>
        <w:tc>
          <w:tcPr>
            <w:tcW w:w="135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39</w:t>
            </w:r>
          </w:p>
        </w:tc>
        <w:tc>
          <w:tcPr>
            <w:tcW w:w="1098"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3-15-16</w:t>
            </w:r>
          </w:p>
        </w:tc>
      </w:tr>
      <w:tr w:rsidR="000C3E5D" w:rsidRPr="000C3E5D" w:rsidTr="000558D8">
        <w:tc>
          <w:tcPr>
            <w:tcW w:w="252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Cash in Bank</w:t>
            </w:r>
          </w:p>
        </w:tc>
        <w:tc>
          <w:tcPr>
            <w:tcW w:w="108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3,765</w:t>
            </w:r>
          </w:p>
        </w:tc>
        <w:tc>
          <w:tcPr>
            <w:tcW w:w="270" w:type="dxa"/>
            <w:tcBorders>
              <w:top w:val="nil"/>
              <w:bottom w:val="nil"/>
            </w:tcBorders>
            <w:shd w:val="clear" w:color="auto" w:fill="BFBFBF" w:themeFill="background1" w:themeFillShade="BF"/>
            <w:vAlign w:val="center"/>
          </w:tcPr>
          <w:p w:rsidR="000C3E5D" w:rsidRPr="000C3E5D" w:rsidRDefault="000C3E5D" w:rsidP="000C3E5D">
            <w:pPr>
              <w:rPr>
                <w:rFonts w:eastAsiaTheme="minorEastAsia" w:cs="Arial"/>
              </w:rPr>
            </w:pPr>
          </w:p>
        </w:tc>
        <w:tc>
          <w:tcPr>
            <w:tcW w:w="315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Accounts Payable</w:t>
            </w:r>
          </w:p>
        </w:tc>
        <w:tc>
          <w:tcPr>
            <w:tcW w:w="135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5,856</w:t>
            </w:r>
          </w:p>
        </w:tc>
        <w:tc>
          <w:tcPr>
            <w:tcW w:w="1098"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1-31-16</w:t>
            </w:r>
          </w:p>
        </w:tc>
      </w:tr>
      <w:tr w:rsidR="000C3E5D" w:rsidRPr="000C3E5D" w:rsidTr="000558D8">
        <w:tc>
          <w:tcPr>
            <w:tcW w:w="252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Land</w:t>
            </w:r>
          </w:p>
        </w:tc>
        <w:tc>
          <w:tcPr>
            <w:tcW w:w="108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15,000</w:t>
            </w:r>
          </w:p>
        </w:tc>
        <w:tc>
          <w:tcPr>
            <w:tcW w:w="270" w:type="dxa"/>
            <w:tcBorders>
              <w:top w:val="nil"/>
              <w:bottom w:val="nil"/>
            </w:tcBorders>
            <w:shd w:val="clear" w:color="auto" w:fill="BFBFBF" w:themeFill="background1" w:themeFillShade="BF"/>
            <w:vAlign w:val="center"/>
          </w:tcPr>
          <w:p w:rsidR="000C3E5D" w:rsidRPr="000C3E5D" w:rsidRDefault="000C3E5D" w:rsidP="000C3E5D">
            <w:pPr>
              <w:rPr>
                <w:rFonts w:eastAsiaTheme="minorEastAsia" w:cs="Arial"/>
              </w:rPr>
            </w:pPr>
          </w:p>
        </w:tc>
        <w:tc>
          <w:tcPr>
            <w:tcW w:w="315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Note Payable</w:t>
            </w:r>
          </w:p>
        </w:tc>
        <w:tc>
          <w:tcPr>
            <w:tcW w:w="135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9,500</w:t>
            </w:r>
          </w:p>
        </w:tc>
        <w:tc>
          <w:tcPr>
            <w:tcW w:w="1098"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3-15-16</w:t>
            </w:r>
          </w:p>
        </w:tc>
      </w:tr>
      <w:tr w:rsidR="000C3E5D" w:rsidRPr="000C3E5D" w:rsidTr="000558D8">
        <w:tc>
          <w:tcPr>
            <w:tcW w:w="252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Prepaid Insurance</w:t>
            </w:r>
          </w:p>
        </w:tc>
        <w:tc>
          <w:tcPr>
            <w:tcW w:w="108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3,475</w:t>
            </w:r>
          </w:p>
        </w:tc>
        <w:tc>
          <w:tcPr>
            <w:tcW w:w="270" w:type="dxa"/>
            <w:tcBorders>
              <w:top w:val="nil"/>
              <w:bottom w:val="nil"/>
            </w:tcBorders>
            <w:shd w:val="clear" w:color="auto" w:fill="BFBFBF" w:themeFill="background1" w:themeFillShade="BF"/>
            <w:vAlign w:val="center"/>
          </w:tcPr>
          <w:p w:rsidR="000C3E5D" w:rsidRPr="000C3E5D" w:rsidRDefault="000C3E5D" w:rsidP="000C3E5D">
            <w:pPr>
              <w:rPr>
                <w:rFonts w:eastAsiaTheme="minorEastAsia" w:cs="Arial"/>
              </w:rPr>
            </w:pPr>
          </w:p>
        </w:tc>
        <w:tc>
          <w:tcPr>
            <w:tcW w:w="315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Fed. Inc. Tax Pay.</w:t>
            </w:r>
          </w:p>
        </w:tc>
        <w:tc>
          <w:tcPr>
            <w:tcW w:w="135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840</w:t>
            </w:r>
          </w:p>
        </w:tc>
        <w:tc>
          <w:tcPr>
            <w:tcW w:w="1098"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1-15-16</w:t>
            </w:r>
          </w:p>
        </w:tc>
      </w:tr>
      <w:tr w:rsidR="000C3E5D" w:rsidRPr="000C3E5D" w:rsidTr="000558D8">
        <w:tc>
          <w:tcPr>
            <w:tcW w:w="252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Petty Cash</w:t>
            </w:r>
          </w:p>
        </w:tc>
        <w:tc>
          <w:tcPr>
            <w:tcW w:w="108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300</w:t>
            </w:r>
          </w:p>
        </w:tc>
        <w:tc>
          <w:tcPr>
            <w:tcW w:w="270" w:type="dxa"/>
            <w:tcBorders>
              <w:top w:val="nil"/>
              <w:bottom w:val="nil"/>
            </w:tcBorders>
            <w:shd w:val="clear" w:color="auto" w:fill="BFBFBF" w:themeFill="background1" w:themeFillShade="BF"/>
            <w:vAlign w:val="center"/>
          </w:tcPr>
          <w:p w:rsidR="000C3E5D" w:rsidRPr="000C3E5D" w:rsidRDefault="000C3E5D" w:rsidP="000C3E5D">
            <w:pPr>
              <w:rPr>
                <w:rFonts w:eastAsiaTheme="minorEastAsia" w:cs="Arial"/>
              </w:rPr>
            </w:pPr>
          </w:p>
        </w:tc>
        <w:tc>
          <w:tcPr>
            <w:tcW w:w="315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Dividends Payable</w:t>
            </w:r>
          </w:p>
        </w:tc>
        <w:tc>
          <w:tcPr>
            <w:tcW w:w="135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2,500</w:t>
            </w:r>
          </w:p>
        </w:tc>
        <w:tc>
          <w:tcPr>
            <w:tcW w:w="1098"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2-15-16</w:t>
            </w:r>
          </w:p>
        </w:tc>
      </w:tr>
      <w:tr w:rsidR="000C3E5D" w:rsidRPr="000C3E5D" w:rsidTr="000558D8">
        <w:tc>
          <w:tcPr>
            <w:tcW w:w="252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Merchandise Inventory</w:t>
            </w:r>
          </w:p>
        </w:tc>
        <w:tc>
          <w:tcPr>
            <w:tcW w:w="108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27,835</w:t>
            </w:r>
          </w:p>
        </w:tc>
        <w:tc>
          <w:tcPr>
            <w:tcW w:w="270" w:type="dxa"/>
            <w:tcBorders>
              <w:top w:val="nil"/>
              <w:bottom w:val="nil"/>
            </w:tcBorders>
            <w:shd w:val="clear" w:color="auto" w:fill="BFBFBF" w:themeFill="background1" w:themeFillShade="BF"/>
            <w:vAlign w:val="center"/>
          </w:tcPr>
          <w:p w:rsidR="000C3E5D" w:rsidRPr="000C3E5D" w:rsidRDefault="000C3E5D" w:rsidP="000C3E5D">
            <w:pPr>
              <w:rPr>
                <w:rFonts w:eastAsiaTheme="minorEastAsia" w:cs="Arial"/>
              </w:rPr>
            </w:pPr>
          </w:p>
        </w:tc>
        <w:tc>
          <w:tcPr>
            <w:tcW w:w="315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Sales Tax Payable</w:t>
            </w:r>
          </w:p>
        </w:tc>
        <w:tc>
          <w:tcPr>
            <w:tcW w:w="135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1,420</w:t>
            </w:r>
          </w:p>
        </w:tc>
        <w:tc>
          <w:tcPr>
            <w:tcW w:w="1098"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1-20-16</w:t>
            </w:r>
          </w:p>
        </w:tc>
      </w:tr>
      <w:tr w:rsidR="000C3E5D" w:rsidRPr="000C3E5D" w:rsidTr="000558D8">
        <w:tc>
          <w:tcPr>
            <w:tcW w:w="252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Office Supplies</w:t>
            </w:r>
          </w:p>
        </w:tc>
        <w:tc>
          <w:tcPr>
            <w:tcW w:w="108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4,690</w:t>
            </w:r>
          </w:p>
        </w:tc>
        <w:tc>
          <w:tcPr>
            <w:tcW w:w="270" w:type="dxa"/>
            <w:tcBorders>
              <w:top w:val="nil"/>
              <w:bottom w:val="nil"/>
            </w:tcBorders>
            <w:shd w:val="clear" w:color="auto" w:fill="BFBFBF" w:themeFill="background1" w:themeFillShade="BF"/>
            <w:vAlign w:val="center"/>
          </w:tcPr>
          <w:p w:rsidR="000C3E5D" w:rsidRPr="000C3E5D" w:rsidRDefault="000C3E5D" w:rsidP="000C3E5D">
            <w:pPr>
              <w:rPr>
                <w:rFonts w:eastAsiaTheme="minorEastAsia" w:cs="Arial"/>
              </w:rPr>
            </w:pPr>
          </w:p>
        </w:tc>
        <w:tc>
          <w:tcPr>
            <w:tcW w:w="315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Note Payable</w:t>
            </w:r>
          </w:p>
        </w:tc>
        <w:tc>
          <w:tcPr>
            <w:tcW w:w="135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95,000</w:t>
            </w:r>
          </w:p>
        </w:tc>
        <w:tc>
          <w:tcPr>
            <w:tcW w:w="1098"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3-15-20</w:t>
            </w:r>
          </w:p>
        </w:tc>
      </w:tr>
      <w:tr w:rsidR="000C3E5D" w:rsidRPr="000C3E5D" w:rsidTr="000558D8">
        <w:tc>
          <w:tcPr>
            <w:tcW w:w="252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Office Equipment</w:t>
            </w:r>
          </w:p>
        </w:tc>
        <w:tc>
          <w:tcPr>
            <w:tcW w:w="108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8,610</w:t>
            </w:r>
          </w:p>
        </w:tc>
        <w:tc>
          <w:tcPr>
            <w:tcW w:w="270" w:type="dxa"/>
            <w:tcBorders>
              <w:top w:val="nil"/>
              <w:bottom w:val="nil"/>
            </w:tcBorders>
            <w:shd w:val="clear" w:color="auto" w:fill="BFBFBF" w:themeFill="background1" w:themeFillShade="BF"/>
            <w:vAlign w:val="center"/>
          </w:tcPr>
          <w:p w:rsidR="000C3E5D" w:rsidRPr="000C3E5D" w:rsidRDefault="000C3E5D" w:rsidP="000C3E5D">
            <w:pPr>
              <w:rPr>
                <w:rFonts w:eastAsiaTheme="minorEastAsia" w:cs="Arial"/>
              </w:rPr>
            </w:pPr>
          </w:p>
        </w:tc>
        <w:tc>
          <w:tcPr>
            <w:tcW w:w="315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Fed. Corp. Inc</w:t>
            </w:r>
            <w:r w:rsidR="00784922">
              <w:rPr>
                <w:rFonts w:eastAsiaTheme="minorEastAsia" w:cs="Arial"/>
                <w:sz w:val="22"/>
                <w:szCs w:val="22"/>
              </w:rPr>
              <w:t>.</w:t>
            </w:r>
            <w:r w:rsidRPr="000C3E5D">
              <w:rPr>
                <w:rFonts w:eastAsiaTheme="minorEastAsia" w:cs="Arial"/>
                <w:sz w:val="22"/>
                <w:szCs w:val="22"/>
              </w:rPr>
              <w:t xml:space="preserve"> Tax Payable</w:t>
            </w:r>
          </w:p>
        </w:tc>
        <w:tc>
          <w:tcPr>
            <w:tcW w:w="135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1,200</w:t>
            </w:r>
          </w:p>
        </w:tc>
        <w:tc>
          <w:tcPr>
            <w:tcW w:w="1098"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3-15-16</w:t>
            </w:r>
          </w:p>
        </w:tc>
      </w:tr>
      <w:tr w:rsidR="000C3E5D" w:rsidRPr="000C3E5D" w:rsidTr="000558D8">
        <w:tc>
          <w:tcPr>
            <w:tcW w:w="2520" w:type="dxa"/>
            <w:tcBorders>
              <w:bottom w:val="single" w:sz="4" w:space="0" w:color="auto"/>
            </w:tcBorders>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Accounts Receivable</w:t>
            </w:r>
          </w:p>
        </w:tc>
        <w:tc>
          <w:tcPr>
            <w:tcW w:w="1080" w:type="dxa"/>
            <w:tcBorders>
              <w:bottom w:val="single" w:sz="4" w:space="0" w:color="auto"/>
            </w:tcBorders>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37,685</w:t>
            </w:r>
          </w:p>
        </w:tc>
        <w:tc>
          <w:tcPr>
            <w:tcW w:w="270" w:type="dxa"/>
            <w:tcBorders>
              <w:top w:val="nil"/>
              <w:bottom w:val="nil"/>
            </w:tcBorders>
            <w:shd w:val="clear" w:color="auto" w:fill="BFBFBF" w:themeFill="background1" w:themeFillShade="BF"/>
            <w:vAlign w:val="center"/>
          </w:tcPr>
          <w:p w:rsidR="000C3E5D" w:rsidRPr="000C3E5D" w:rsidRDefault="000C3E5D" w:rsidP="000C3E5D">
            <w:pPr>
              <w:rPr>
                <w:rFonts w:eastAsiaTheme="minorEastAsia" w:cs="Arial"/>
              </w:rPr>
            </w:pPr>
          </w:p>
        </w:tc>
        <w:tc>
          <w:tcPr>
            <w:tcW w:w="315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Note Payable</w:t>
            </w:r>
          </w:p>
        </w:tc>
        <w:tc>
          <w:tcPr>
            <w:tcW w:w="135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5,000</w:t>
            </w:r>
          </w:p>
        </w:tc>
        <w:tc>
          <w:tcPr>
            <w:tcW w:w="1098"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2-25-17</w:t>
            </w:r>
          </w:p>
        </w:tc>
      </w:tr>
      <w:tr w:rsidR="000C3E5D" w:rsidRPr="000C3E5D" w:rsidTr="000558D8">
        <w:tc>
          <w:tcPr>
            <w:tcW w:w="2520" w:type="dxa"/>
            <w:tcBorders>
              <w:left w:val="single" w:sz="4" w:space="0" w:color="auto"/>
              <w:bottom w:val="single" w:sz="4" w:space="0" w:color="auto"/>
              <w:right w:val="single" w:sz="4" w:space="0" w:color="auto"/>
            </w:tcBorders>
            <w:vAlign w:val="center"/>
          </w:tcPr>
          <w:p w:rsidR="000C3E5D" w:rsidRPr="000C3E5D" w:rsidRDefault="000C3E5D" w:rsidP="000C3E5D">
            <w:pPr>
              <w:rPr>
                <w:rFonts w:eastAsiaTheme="minorEastAsia" w:cs="Arial"/>
              </w:rPr>
            </w:pPr>
            <w:r w:rsidRPr="000C3E5D">
              <w:rPr>
                <w:rFonts w:eastAsiaTheme="minorEastAsia" w:cs="Arial"/>
              </w:rPr>
              <w:t>Buildings</w:t>
            </w:r>
          </w:p>
        </w:tc>
        <w:tc>
          <w:tcPr>
            <w:tcW w:w="1080" w:type="dxa"/>
            <w:tcBorders>
              <w:left w:val="single" w:sz="4" w:space="0" w:color="auto"/>
              <w:bottom w:val="single" w:sz="4" w:space="0" w:color="auto"/>
            </w:tcBorders>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340,850</w:t>
            </w:r>
          </w:p>
        </w:tc>
        <w:tc>
          <w:tcPr>
            <w:tcW w:w="270" w:type="dxa"/>
            <w:tcBorders>
              <w:top w:val="nil"/>
              <w:bottom w:val="nil"/>
            </w:tcBorders>
            <w:shd w:val="clear" w:color="auto" w:fill="BFBFBF" w:themeFill="background1" w:themeFillShade="BF"/>
            <w:vAlign w:val="center"/>
          </w:tcPr>
          <w:p w:rsidR="000C3E5D" w:rsidRPr="000C3E5D" w:rsidRDefault="000C3E5D" w:rsidP="000C3E5D">
            <w:pPr>
              <w:rPr>
                <w:rFonts w:eastAsiaTheme="minorEastAsia" w:cs="Arial"/>
              </w:rPr>
            </w:pPr>
          </w:p>
        </w:tc>
        <w:tc>
          <w:tcPr>
            <w:tcW w:w="315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Property Tax Payable</w:t>
            </w:r>
          </w:p>
        </w:tc>
        <w:tc>
          <w:tcPr>
            <w:tcW w:w="135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2,755</w:t>
            </w:r>
          </w:p>
        </w:tc>
        <w:tc>
          <w:tcPr>
            <w:tcW w:w="1098"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1-31-16</w:t>
            </w:r>
          </w:p>
        </w:tc>
      </w:tr>
      <w:tr w:rsidR="000C3E5D" w:rsidRPr="000C3E5D" w:rsidTr="000558D8">
        <w:tc>
          <w:tcPr>
            <w:tcW w:w="2520" w:type="dxa"/>
            <w:tcBorders>
              <w:top w:val="single" w:sz="4" w:space="0" w:color="auto"/>
              <w:left w:val="nil"/>
              <w:bottom w:val="nil"/>
              <w:right w:val="nil"/>
            </w:tcBorders>
            <w:vAlign w:val="center"/>
          </w:tcPr>
          <w:p w:rsidR="000C3E5D" w:rsidRPr="000C3E5D" w:rsidRDefault="000C3E5D" w:rsidP="000C3E5D">
            <w:pPr>
              <w:rPr>
                <w:rFonts w:eastAsiaTheme="minorEastAsia" w:cs="Arial"/>
              </w:rPr>
            </w:pPr>
          </w:p>
        </w:tc>
        <w:tc>
          <w:tcPr>
            <w:tcW w:w="1080" w:type="dxa"/>
            <w:tcBorders>
              <w:top w:val="single" w:sz="4" w:space="0" w:color="auto"/>
              <w:left w:val="nil"/>
              <w:bottom w:val="nil"/>
            </w:tcBorders>
            <w:vAlign w:val="center"/>
          </w:tcPr>
          <w:p w:rsidR="000C3E5D" w:rsidRPr="000C3E5D" w:rsidRDefault="000C3E5D" w:rsidP="000C3E5D">
            <w:pPr>
              <w:rPr>
                <w:rFonts w:eastAsiaTheme="minorEastAsia" w:cs="Arial"/>
                <w:sz w:val="22"/>
                <w:szCs w:val="22"/>
              </w:rPr>
            </w:pPr>
          </w:p>
        </w:tc>
        <w:tc>
          <w:tcPr>
            <w:tcW w:w="270" w:type="dxa"/>
            <w:tcBorders>
              <w:top w:val="nil"/>
              <w:bottom w:val="nil"/>
            </w:tcBorders>
            <w:shd w:val="clear" w:color="auto" w:fill="BFBFBF" w:themeFill="background1" w:themeFillShade="BF"/>
            <w:vAlign w:val="center"/>
          </w:tcPr>
          <w:p w:rsidR="000C3E5D" w:rsidRPr="000C3E5D" w:rsidRDefault="000C3E5D" w:rsidP="000C3E5D">
            <w:pPr>
              <w:rPr>
                <w:rFonts w:eastAsiaTheme="minorEastAsia" w:cs="Arial"/>
              </w:rPr>
            </w:pPr>
          </w:p>
        </w:tc>
        <w:tc>
          <w:tcPr>
            <w:tcW w:w="315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Salaries Payable</w:t>
            </w:r>
          </w:p>
        </w:tc>
        <w:tc>
          <w:tcPr>
            <w:tcW w:w="135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890</w:t>
            </w:r>
          </w:p>
        </w:tc>
        <w:tc>
          <w:tcPr>
            <w:tcW w:w="1098"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1-18-16</w:t>
            </w:r>
          </w:p>
        </w:tc>
      </w:tr>
      <w:tr w:rsidR="000C3E5D" w:rsidRPr="000C3E5D" w:rsidTr="000558D8">
        <w:tc>
          <w:tcPr>
            <w:tcW w:w="2520" w:type="dxa"/>
            <w:tcBorders>
              <w:top w:val="nil"/>
              <w:left w:val="nil"/>
              <w:bottom w:val="nil"/>
              <w:right w:val="nil"/>
            </w:tcBorders>
            <w:vAlign w:val="center"/>
          </w:tcPr>
          <w:p w:rsidR="000C3E5D" w:rsidRPr="000C3E5D" w:rsidRDefault="000C3E5D" w:rsidP="000C3E5D">
            <w:pPr>
              <w:rPr>
                <w:rFonts w:eastAsiaTheme="minorEastAsia" w:cs="Arial"/>
              </w:rPr>
            </w:pPr>
          </w:p>
        </w:tc>
        <w:tc>
          <w:tcPr>
            <w:tcW w:w="1080" w:type="dxa"/>
            <w:tcBorders>
              <w:top w:val="nil"/>
              <w:left w:val="nil"/>
              <w:bottom w:val="nil"/>
            </w:tcBorders>
            <w:vAlign w:val="center"/>
          </w:tcPr>
          <w:p w:rsidR="000C3E5D" w:rsidRPr="000C3E5D" w:rsidRDefault="000C3E5D" w:rsidP="000C3E5D">
            <w:pPr>
              <w:rPr>
                <w:rFonts w:eastAsiaTheme="minorEastAsia" w:cs="Arial"/>
                <w:sz w:val="22"/>
                <w:szCs w:val="22"/>
              </w:rPr>
            </w:pPr>
          </w:p>
        </w:tc>
        <w:tc>
          <w:tcPr>
            <w:tcW w:w="270" w:type="dxa"/>
            <w:tcBorders>
              <w:top w:val="nil"/>
              <w:bottom w:val="nil"/>
            </w:tcBorders>
            <w:shd w:val="clear" w:color="auto" w:fill="BFBFBF" w:themeFill="background1" w:themeFillShade="BF"/>
            <w:vAlign w:val="center"/>
          </w:tcPr>
          <w:p w:rsidR="000C3E5D" w:rsidRPr="000C3E5D" w:rsidRDefault="000C3E5D" w:rsidP="000C3E5D">
            <w:pPr>
              <w:rPr>
                <w:rFonts w:eastAsiaTheme="minorEastAsia" w:cs="Arial"/>
              </w:rPr>
            </w:pPr>
          </w:p>
        </w:tc>
        <w:tc>
          <w:tcPr>
            <w:tcW w:w="315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Common Stock</w:t>
            </w:r>
          </w:p>
        </w:tc>
        <w:tc>
          <w:tcPr>
            <w:tcW w:w="135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80,000</w:t>
            </w:r>
          </w:p>
        </w:tc>
        <w:tc>
          <w:tcPr>
            <w:tcW w:w="1098" w:type="dxa"/>
            <w:vAlign w:val="center"/>
          </w:tcPr>
          <w:p w:rsidR="000C3E5D" w:rsidRPr="000C3E5D" w:rsidRDefault="000C3E5D" w:rsidP="000C3E5D">
            <w:pPr>
              <w:jc w:val="center"/>
              <w:rPr>
                <w:rFonts w:eastAsiaTheme="minorEastAsia" w:cs="Arial"/>
                <w:sz w:val="22"/>
                <w:szCs w:val="22"/>
              </w:rPr>
            </w:pPr>
            <w:r w:rsidRPr="000C3E5D">
              <w:rPr>
                <w:rFonts w:eastAsiaTheme="minorEastAsia" w:cs="Arial"/>
                <w:sz w:val="22"/>
                <w:szCs w:val="22"/>
              </w:rPr>
              <w:t>?</w:t>
            </w:r>
          </w:p>
        </w:tc>
      </w:tr>
      <w:tr w:rsidR="000C3E5D" w:rsidRPr="000C3E5D" w:rsidTr="000558D8">
        <w:tc>
          <w:tcPr>
            <w:tcW w:w="2520" w:type="dxa"/>
            <w:tcBorders>
              <w:top w:val="nil"/>
              <w:left w:val="nil"/>
              <w:bottom w:val="nil"/>
              <w:right w:val="nil"/>
            </w:tcBorders>
            <w:vAlign w:val="center"/>
          </w:tcPr>
          <w:p w:rsidR="000C3E5D" w:rsidRPr="000C3E5D" w:rsidRDefault="000C3E5D" w:rsidP="000C3E5D">
            <w:pPr>
              <w:rPr>
                <w:rFonts w:eastAsiaTheme="minorEastAsia" w:cs="Arial"/>
              </w:rPr>
            </w:pPr>
          </w:p>
        </w:tc>
        <w:tc>
          <w:tcPr>
            <w:tcW w:w="1080" w:type="dxa"/>
            <w:tcBorders>
              <w:top w:val="nil"/>
              <w:left w:val="nil"/>
              <w:bottom w:val="nil"/>
            </w:tcBorders>
            <w:vAlign w:val="center"/>
          </w:tcPr>
          <w:p w:rsidR="000C3E5D" w:rsidRPr="000C3E5D" w:rsidRDefault="000C3E5D" w:rsidP="000C3E5D">
            <w:pPr>
              <w:rPr>
                <w:rFonts w:eastAsiaTheme="minorEastAsia" w:cs="Arial"/>
                <w:sz w:val="22"/>
                <w:szCs w:val="22"/>
              </w:rPr>
            </w:pPr>
          </w:p>
        </w:tc>
        <w:tc>
          <w:tcPr>
            <w:tcW w:w="270" w:type="dxa"/>
            <w:tcBorders>
              <w:top w:val="nil"/>
            </w:tcBorders>
            <w:shd w:val="clear" w:color="auto" w:fill="BFBFBF" w:themeFill="background1" w:themeFillShade="BF"/>
            <w:vAlign w:val="center"/>
          </w:tcPr>
          <w:p w:rsidR="000C3E5D" w:rsidRPr="000C3E5D" w:rsidRDefault="000C3E5D" w:rsidP="000C3E5D">
            <w:pPr>
              <w:rPr>
                <w:rFonts w:eastAsiaTheme="minorEastAsia" w:cs="Arial"/>
              </w:rPr>
            </w:pPr>
          </w:p>
        </w:tc>
        <w:tc>
          <w:tcPr>
            <w:tcW w:w="3150" w:type="dxa"/>
            <w:vAlign w:val="center"/>
          </w:tcPr>
          <w:p w:rsidR="000C3E5D" w:rsidRPr="000C3E5D" w:rsidRDefault="000C3E5D" w:rsidP="000C3E5D">
            <w:pPr>
              <w:rPr>
                <w:rFonts w:eastAsiaTheme="minorEastAsia" w:cs="Arial"/>
                <w:sz w:val="22"/>
                <w:szCs w:val="22"/>
              </w:rPr>
            </w:pPr>
            <w:r w:rsidRPr="000C3E5D">
              <w:rPr>
                <w:rFonts w:eastAsiaTheme="minorEastAsia" w:cs="Arial"/>
                <w:sz w:val="22"/>
                <w:szCs w:val="22"/>
              </w:rPr>
              <w:t>Paid-In Capital in Excess Par</w:t>
            </w:r>
          </w:p>
        </w:tc>
        <w:tc>
          <w:tcPr>
            <w:tcW w:w="1350" w:type="dxa"/>
            <w:vAlign w:val="center"/>
          </w:tcPr>
          <w:p w:rsidR="000C3E5D" w:rsidRPr="000C3E5D" w:rsidRDefault="000C3E5D" w:rsidP="000C3E5D">
            <w:pPr>
              <w:jc w:val="right"/>
              <w:rPr>
                <w:rFonts w:eastAsiaTheme="minorEastAsia" w:cs="Arial"/>
                <w:sz w:val="22"/>
                <w:szCs w:val="22"/>
              </w:rPr>
            </w:pPr>
            <w:r w:rsidRPr="000C3E5D">
              <w:rPr>
                <w:rFonts w:eastAsiaTheme="minorEastAsia" w:cs="Arial"/>
                <w:sz w:val="22"/>
                <w:szCs w:val="22"/>
              </w:rPr>
              <w:t>10,000</w:t>
            </w:r>
          </w:p>
        </w:tc>
        <w:tc>
          <w:tcPr>
            <w:tcW w:w="1098" w:type="dxa"/>
            <w:vAlign w:val="center"/>
          </w:tcPr>
          <w:p w:rsidR="000C3E5D" w:rsidRPr="000C3E5D" w:rsidRDefault="000C3E5D" w:rsidP="000C3E5D">
            <w:pPr>
              <w:jc w:val="center"/>
              <w:rPr>
                <w:rFonts w:eastAsiaTheme="minorEastAsia" w:cs="Arial"/>
                <w:sz w:val="22"/>
                <w:szCs w:val="22"/>
              </w:rPr>
            </w:pPr>
            <w:r w:rsidRPr="000C3E5D">
              <w:rPr>
                <w:rFonts w:eastAsiaTheme="minorEastAsia" w:cs="Arial"/>
                <w:sz w:val="22"/>
                <w:szCs w:val="22"/>
              </w:rPr>
              <w:t>?</w:t>
            </w:r>
          </w:p>
        </w:tc>
      </w:tr>
    </w:tbl>
    <w:p w:rsidR="000C3E5D" w:rsidRPr="00F050C6" w:rsidRDefault="000C3E5D" w:rsidP="000C3E5D">
      <w:pPr>
        <w:jc w:val="both"/>
        <w:rPr>
          <w:rFonts w:eastAsiaTheme="minorEastAsia" w:cs="Arial"/>
          <w:sz w:val="16"/>
          <w:szCs w:val="16"/>
        </w:rPr>
      </w:pPr>
    </w:p>
    <w:p w:rsidR="000C3E5D" w:rsidRPr="000C3E5D" w:rsidRDefault="000C3E5D" w:rsidP="000C3E5D">
      <w:pPr>
        <w:jc w:val="both"/>
        <w:rPr>
          <w:rFonts w:eastAsiaTheme="minorEastAsia" w:cs="Arial"/>
          <w:b/>
        </w:rPr>
      </w:pPr>
      <w:r w:rsidRPr="000C3E5D">
        <w:rPr>
          <w:rFonts w:eastAsiaTheme="minorEastAsia" w:cs="Arial"/>
          <w:b/>
        </w:rPr>
        <w:t xml:space="preserve">For questions </w:t>
      </w:r>
      <w:r w:rsidR="005D63F4">
        <w:rPr>
          <w:rFonts w:eastAsiaTheme="minorEastAsia" w:cs="Arial"/>
          <w:b/>
        </w:rPr>
        <w:t>3</w:t>
      </w:r>
      <w:r w:rsidRPr="00784922">
        <w:rPr>
          <w:rFonts w:eastAsiaTheme="minorEastAsia" w:cs="Arial"/>
          <w:b/>
        </w:rPr>
        <w:t>3</w:t>
      </w:r>
      <w:r w:rsidRPr="000C3E5D">
        <w:rPr>
          <w:rFonts w:eastAsiaTheme="minorEastAsia" w:cs="Arial"/>
          <w:b/>
        </w:rPr>
        <w:t xml:space="preserve"> through </w:t>
      </w:r>
      <w:r w:rsidR="005D63F4">
        <w:rPr>
          <w:rFonts w:eastAsiaTheme="minorEastAsia" w:cs="Arial"/>
          <w:b/>
        </w:rPr>
        <w:t>3</w:t>
      </w:r>
      <w:r w:rsidRPr="00784922">
        <w:rPr>
          <w:rFonts w:eastAsiaTheme="minorEastAsia" w:cs="Arial"/>
          <w:b/>
        </w:rPr>
        <w:t>5</w:t>
      </w:r>
      <w:r w:rsidRPr="000C3E5D">
        <w:rPr>
          <w:rFonts w:eastAsiaTheme="minorEastAsia" w:cs="Arial"/>
          <w:b/>
        </w:rPr>
        <w:t>, write the identifying letter of the best response on your answer sheet.</w:t>
      </w:r>
    </w:p>
    <w:p w:rsidR="000C3E5D" w:rsidRPr="00F050C6" w:rsidRDefault="000C3E5D" w:rsidP="000C3E5D">
      <w:pPr>
        <w:jc w:val="both"/>
        <w:rPr>
          <w:rFonts w:eastAsiaTheme="minorEastAsia" w:cs="Arial"/>
          <w:sz w:val="16"/>
          <w:szCs w:val="16"/>
        </w:rPr>
      </w:pPr>
    </w:p>
    <w:p w:rsidR="000C3E5D" w:rsidRPr="000C3E5D" w:rsidRDefault="005D63F4" w:rsidP="000C3E5D">
      <w:pPr>
        <w:jc w:val="both"/>
        <w:rPr>
          <w:rFonts w:eastAsiaTheme="minorEastAsia" w:cs="Arial"/>
        </w:rPr>
      </w:pPr>
      <w:r>
        <w:rPr>
          <w:rFonts w:eastAsiaTheme="minorEastAsia" w:cs="Arial"/>
        </w:rPr>
        <w:t>3</w:t>
      </w:r>
      <w:r w:rsidR="000C3E5D">
        <w:rPr>
          <w:rFonts w:eastAsiaTheme="minorEastAsia" w:cs="Arial"/>
        </w:rPr>
        <w:t>3</w:t>
      </w:r>
      <w:r w:rsidR="000C3E5D" w:rsidRPr="000C3E5D">
        <w:rPr>
          <w:rFonts w:eastAsiaTheme="minorEastAsia" w:cs="Arial"/>
        </w:rPr>
        <w:t>. What is the correct amount of working capital?</w:t>
      </w:r>
    </w:p>
    <w:p w:rsidR="000C3E5D" w:rsidRPr="000C3E5D" w:rsidRDefault="000C3E5D" w:rsidP="000C3E5D">
      <w:pPr>
        <w:jc w:val="both"/>
        <w:rPr>
          <w:rFonts w:eastAsiaTheme="minorEastAsia" w:cs="Arial"/>
        </w:rPr>
      </w:pPr>
      <w:r w:rsidRPr="000C3E5D">
        <w:rPr>
          <w:rFonts w:eastAsiaTheme="minorEastAsia" w:cs="Arial"/>
        </w:rPr>
        <w:tab/>
        <w:t>A. $17,000</w:t>
      </w:r>
      <w:r w:rsidR="00F050C6">
        <w:rPr>
          <w:rFonts w:eastAsiaTheme="minorEastAsia" w:cs="Arial"/>
        </w:rPr>
        <w:t xml:space="preserve">     B. $25,000     C. $30,000     </w:t>
      </w:r>
      <w:r w:rsidRPr="000C3E5D">
        <w:rPr>
          <w:rFonts w:eastAsiaTheme="minorEastAsia" w:cs="Arial"/>
        </w:rPr>
        <w:t>D. $50,165</w:t>
      </w:r>
      <w:r w:rsidR="00F050C6">
        <w:rPr>
          <w:rFonts w:eastAsiaTheme="minorEastAsia" w:cs="Arial"/>
        </w:rPr>
        <w:t xml:space="preserve">     E. $53,000     F. $80,000</w:t>
      </w:r>
    </w:p>
    <w:p w:rsidR="000C3E5D" w:rsidRPr="00F050C6" w:rsidRDefault="00F050C6" w:rsidP="000C3E5D">
      <w:pPr>
        <w:jc w:val="both"/>
        <w:rPr>
          <w:rFonts w:eastAsiaTheme="minorEastAsia" w:cs="Arial"/>
          <w:sz w:val="16"/>
          <w:szCs w:val="16"/>
        </w:rPr>
      </w:pPr>
      <w:r>
        <w:rPr>
          <w:rFonts w:eastAsiaTheme="minorEastAsia" w:cs="Arial"/>
        </w:rPr>
        <w:tab/>
      </w:r>
    </w:p>
    <w:p w:rsidR="000C3E5D" w:rsidRPr="000C3E5D" w:rsidRDefault="005D63F4" w:rsidP="000C3E5D">
      <w:pPr>
        <w:jc w:val="both"/>
        <w:rPr>
          <w:rFonts w:eastAsiaTheme="minorEastAsia" w:cs="Arial"/>
        </w:rPr>
      </w:pPr>
      <w:r>
        <w:rPr>
          <w:rFonts w:eastAsiaTheme="minorEastAsia" w:cs="Arial"/>
        </w:rPr>
        <w:t>3</w:t>
      </w:r>
      <w:r w:rsidR="000C3E5D">
        <w:rPr>
          <w:rFonts w:eastAsiaTheme="minorEastAsia" w:cs="Arial"/>
        </w:rPr>
        <w:t>4</w:t>
      </w:r>
      <w:r w:rsidR="000C3E5D" w:rsidRPr="000C3E5D">
        <w:rPr>
          <w:rFonts w:eastAsiaTheme="minorEastAsia" w:cs="Arial"/>
        </w:rPr>
        <w:t>. The current ratio is ___</w:t>
      </w:r>
      <w:proofErr w:type="gramStart"/>
      <w:r w:rsidR="000C3E5D" w:rsidRPr="000C3E5D">
        <w:rPr>
          <w:rFonts w:eastAsiaTheme="minorEastAsia" w:cs="Arial"/>
          <w:u w:val="single"/>
        </w:rPr>
        <w:t>?</w:t>
      </w:r>
      <w:r w:rsidR="000C3E5D" w:rsidRPr="000C3E5D">
        <w:rPr>
          <w:rFonts w:eastAsiaTheme="minorEastAsia" w:cs="Arial"/>
        </w:rPr>
        <w:t>_</w:t>
      </w:r>
      <w:proofErr w:type="gramEnd"/>
      <w:r w:rsidR="000C3E5D" w:rsidRPr="000C3E5D">
        <w:rPr>
          <w:rFonts w:eastAsiaTheme="minorEastAsia" w:cs="Arial"/>
        </w:rPr>
        <w:t>__ to 1.</w:t>
      </w:r>
    </w:p>
    <w:p w:rsidR="000C3E5D" w:rsidRPr="000C3E5D" w:rsidRDefault="000C3E5D" w:rsidP="000C3E5D">
      <w:pPr>
        <w:jc w:val="both"/>
        <w:rPr>
          <w:rFonts w:eastAsiaTheme="minorEastAsia" w:cs="Arial"/>
        </w:rPr>
      </w:pPr>
      <w:r w:rsidRPr="000C3E5D">
        <w:rPr>
          <w:rFonts w:eastAsiaTheme="minorEastAsia" w:cs="Arial"/>
        </w:rPr>
        <w:tab/>
        <w:t>A. 0</w:t>
      </w:r>
      <w:r w:rsidRPr="000C3E5D">
        <w:rPr>
          <w:rFonts w:eastAsiaTheme="minorEastAsia" w:cs="Arial"/>
          <w:b/>
        </w:rPr>
        <w:t>.</w:t>
      </w:r>
      <w:r w:rsidRPr="000C3E5D">
        <w:rPr>
          <w:rFonts w:eastAsiaTheme="minorEastAsia" w:cs="Arial"/>
        </w:rPr>
        <w:t>62     B. 2</w:t>
      </w:r>
      <w:r w:rsidRPr="000C3E5D">
        <w:rPr>
          <w:rFonts w:eastAsiaTheme="minorEastAsia" w:cs="Arial"/>
          <w:b/>
        </w:rPr>
        <w:t>.</w:t>
      </w:r>
      <w:r w:rsidRPr="000C3E5D">
        <w:rPr>
          <w:rFonts w:eastAsiaTheme="minorEastAsia" w:cs="Arial"/>
        </w:rPr>
        <w:t>6     C. 2</w:t>
      </w:r>
      <w:r w:rsidRPr="000C3E5D">
        <w:rPr>
          <w:rFonts w:eastAsiaTheme="minorEastAsia" w:cs="Arial"/>
          <w:b/>
        </w:rPr>
        <w:t>.</w:t>
      </w:r>
      <w:r w:rsidRPr="000C3E5D">
        <w:rPr>
          <w:rFonts w:eastAsiaTheme="minorEastAsia" w:cs="Arial"/>
        </w:rPr>
        <w:t>89     D. 3</w:t>
      </w:r>
      <w:r w:rsidRPr="000C3E5D">
        <w:rPr>
          <w:rFonts w:eastAsiaTheme="minorEastAsia" w:cs="Arial"/>
          <w:b/>
        </w:rPr>
        <w:t>.</w:t>
      </w:r>
      <w:r w:rsidRPr="000C3E5D">
        <w:rPr>
          <w:rFonts w:eastAsiaTheme="minorEastAsia" w:cs="Arial"/>
        </w:rPr>
        <w:t>12     E. 3</w:t>
      </w:r>
      <w:r w:rsidRPr="000C3E5D">
        <w:rPr>
          <w:rFonts w:eastAsiaTheme="minorEastAsia" w:cs="Arial"/>
          <w:b/>
        </w:rPr>
        <w:t>.</w:t>
      </w:r>
      <w:r w:rsidRPr="000C3E5D">
        <w:rPr>
          <w:rFonts w:eastAsiaTheme="minorEastAsia" w:cs="Arial"/>
        </w:rPr>
        <w:t>46     F. 3</w:t>
      </w:r>
      <w:r w:rsidRPr="000C3E5D">
        <w:rPr>
          <w:rFonts w:eastAsiaTheme="minorEastAsia" w:cs="Arial"/>
          <w:b/>
        </w:rPr>
        <w:t>.</w:t>
      </w:r>
      <w:r w:rsidRPr="000C3E5D">
        <w:rPr>
          <w:rFonts w:eastAsiaTheme="minorEastAsia" w:cs="Arial"/>
        </w:rPr>
        <w:t>64</w:t>
      </w:r>
    </w:p>
    <w:p w:rsidR="000C3E5D" w:rsidRPr="00F050C6" w:rsidRDefault="000C3E5D" w:rsidP="000C3E5D">
      <w:pPr>
        <w:jc w:val="both"/>
        <w:rPr>
          <w:rFonts w:eastAsiaTheme="minorEastAsia" w:cs="Arial"/>
          <w:sz w:val="16"/>
          <w:szCs w:val="16"/>
        </w:rPr>
      </w:pPr>
    </w:p>
    <w:p w:rsidR="000C3E5D" w:rsidRPr="000C3E5D" w:rsidRDefault="00153811" w:rsidP="00153811">
      <w:pPr>
        <w:ind w:hanging="90"/>
        <w:jc w:val="both"/>
        <w:rPr>
          <w:rFonts w:eastAsiaTheme="minorEastAsia" w:cs="Arial"/>
        </w:rPr>
      </w:pPr>
      <w:r>
        <w:rPr>
          <w:rFonts w:eastAsiaTheme="minorEastAsia" w:cs="Arial"/>
        </w:rPr>
        <w:t>*</w:t>
      </w:r>
      <w:r w:rsidR="005D63F4">
        <w:rPr>
          <w:rFonts w:eastAsiaTheme="minorEastAsia" w:cs="Arial"/>
        </w:rPr>
        <w:t>3</w:t>
      </w:r>
      <w:r w:rsidR="000C3E5D">
        <w:rPr>
          <w:rFonts w:eastAsiaTheme="minorEastAsia" w:cs="Arial"/>
        </w:rPr>
        <w:t>5</w:t>
      </w:r>
      <w:r w:rsidR="000C3E5D" w:rsidRPr="000C3E5D">
        <w:rPr>
          <w:rFonts w:eastAsiaTheme="minorEastAsia" w:cs="Arial"/>
        </w:rPr>
        <w:t>. The quick ratio is ___</w:t>
      </w:r>
      <w:r w:rsidR="000C3E5D" w:rsidRPr="000C3E5D">
        <w:rPr>
          <w:rFonts w:eastAsiaTheme="minorEastAsia" w:cs="Arial"/>
          <w:u w:val="single"/>
        </w:rPr>
        <w:t>?</w:t>
      </w:r>
      <w:r w:rsidR="000C3E5D" w:rsidRPr="000C3E5D">
        <w:rPr>
          <w:rFonts w:eastAsiaTheme="minorEastAsia" w:cs="Arial"/>
        </w:rPr>
        <w:t>___ to 1.</w:t>
      </w:r>
      <w:r w:rsidR="000C3E5D" w:rsidRPr="000C3E5D">
        <w:rPr>
          <w:rFonts w:eastAsiaTheme="minorEastAsia" w:cs="Arial"/>
        </w:rPr>
        <w:tab/>
      </w:r>
    </w:p>
    <w:p w:rsidR="000C3E5D" w:rsidRDefault="000C3E5D" w:rsidP="000C3E5D">
      <w:pPr>
        <w:jc w:val="both"/>
        <w:rPr>
          <w:rFonts w:eastAsiaTheme="minorEastAsia" w:cs="Arial"/>
        </w:rPr>
      </w:pPr>
      <w:r w:rsidRPr="000C3E5D">
        <w:rPr>
          <w:rFonts w:eastAsiaTheme="minorEastAsia" w:cs="Arial"/>
        </w:rPr>
        <w:tab/>
        <w:t>A. 0</w:t>
      </w:r>
      <w:r w:rsidRPr="000C3E5D">
        <w:rPr>
          <w:rFonts w:eastAsiaTheme="minorEastAsia" w:cs="Arial"/>
          <w:b/>
        </w:rPr>
        <w:t>.</w:t>
      </w:r>
      <w:r w:rsidRPr="000C3E5D">
        <w:rPr>
          <w:rFonts w:eastAsiaTheme="minorEastAsia" w:cs="Arial"/>
        </w:rPr>
        <w:t>14     B. 0</w:t>
      </w:r>
      <w:r w:rsidRPr="000C3E5D">
        <w:rPr>
          <w:rFonts w:eastAsiaTheme="minorEastAsia" w:cs="Arial"/>
          <w:b/>
        </w:rPr>
        <w:t>.</w:t>
      </w:r>
      <w:r w:rsidRPr="000C3E5D">
        <w:rPr>
          <w:rFonts w:eastAsiaTheme="minorEastAsia" w:cs="Arial"/>
        </w:rPr>
        <w:t>17     C. 1</w:t>
      </w:r>
      <w:r w:rsidRPr="000C3E5D">
        <w:rPr>
          <w:rFonts w:eastAsiaTheme="minorEastAsia" w:cs="Arial"/>
          <w:b/>
        </w:rPr>
        <w:t>.</w:t>
      </w:r>
      <w:r w:rsidRPr="000C3E5D">
        <w:rPr>
          <w:rFonts w:eastAsiaTheme="minorEastAsia" w:cs="Arial"/>
        </w:rPr>
        <w:t>39     D. 1</w:t>
      </w:r>
      <w:r w:rsidRPr="000C3E5D">
        <w:rPr>
          <w:rFonts w:eastAsiaTheme="minorEastAsia" w:cs="Arial"/>
          <w:b/>
        </w:rPr>
        <w:t>.</w:t>
      </w:r>
      <w:r w:rsidRPr="000C3E5D">
        <w:rPr>
          <w:rFonts w:eastAsiaTheme="minorEastAsia" w:cs="Arial"/>
        </w:rPr>
        <w:t>4     E. 1</w:t>
      </w:r>
      <w:r w:rsidRPr="000C3E5D">
        <w:rPr>
          <w:rFonts w:eastAsiaTheme="minorEastAsia" w:cs="Arial"/>
          <w:b/>
        </w:rPr>
        <w:t>.</w:t>
      </w:r>
      <w:r w:rsidRPr="000C3E5D">
        <w:rPr>
          <w:rFonts w:eastAsiaTheme="minorEastAsia" w:cs="Arial"/>
        </w:rPr>
        <w:t>68     F. 2</w:t>
      </w:r>
      <w:r w:rsidRPr="000C3E5D">
        <w:rPr>
          <w:rFonts w:eastAsiaTheme="minorEastAsia" w:cs="Arial"/>
          <w:b/>
        </w:rPr>
        <w:t>.</w:t>
      </w:r>
      <w:r w:rsidRPr="000C3E5D">
        <w:rPr>
          <w:rFonts w:eastAsiaTheme="minorEastAsia" w:cs="Arial"/>
        </w:rPr>
        <w:t>01</w:t>
      </w:r>
    </w:p>
    <w:p w:rsidR="00F050C6" w:rsidRPr="000558D8" w:rsidRDefault="00F050C6" w:rsidP="000C3E5D">
      <w:pPr>
        <w:jc w:val="both"/>
        <w:rPr>
          <w:rFonts w:eastAsiaTheme="minorEastAsia" w:cs="Arial"/>
          <w:sz w:val="16"/>
          <w:szCs w:val="16"/>
        </w:rPr>
      </w:pPr>
    </w:p>
    <w:p w:rsidR="00F050C6" w:rsidRPr="00F050C6" w:rsidRDefault="00F050C6" w:rsidP="000C3E5D">
      <w:pPr>
        <w:jc w:val="both"/>
        <w:rPr>
          <w:rFonts w:eastAsiaTheme="minorEastAsia" w:cs="Arial"/>
          <w:b/>
          <w:u w:val="single"/>
        </w:rPr>
      </w:pPr>
      <w:r w:rsidRPr="00F050C6">
        <w:rPr>
          <w:rFonts w:eastAsiaTheme="minorEastAsia" w:cs="Arial"/>
          <w:b/>
          <w:u w:val="single"/>
        </w:rPr>
        <w:t>Group</w:t>
      </w:r>
      <w:r w:rsidR="000558D8">
        <w:rPr>
          <w:rFonts w:eastAsiaTheme="minorEastAsia" w:cs="Arial"/>
          <w:b/>
          <w:u w:val="single"/>
        </w:rPr>
        <w:t xml:space="preserve"> 6</w:t>
      </w:r>
    </w:p>
    <w:p w:rsidR="00F050C6" w:rsidRPr="001806D3" w:rsidRDefault="00F050C6" w:rsidP="00F050C6">
      <w:pPr>
        <w:jc w:val="both"/>
        <w:rPr>
          <w:rFonts w:eastAsiaTheme="minorEastAsia" w:cs="Arial"/>
        </w:rPr>
      </w:pPr>
      <w:r w:rsidRPr="001806D3">
        <w:rPr>
          <w:rFonts w:eastAsiaTheme="minorEastAsia" w:cs="Arial"/>
          <w:b/>
        </w:rPr>
        <w:t xml:space="preserve">Match each situation in items </w:t>
      </w:r>
      <w:r w:rsidR="005D63F4">
        <w:rPr>
          <w:rFonts w:eastAsiaTheme="minorEastAsia" w:cs="Arial"/>
          <w:b/>
        </w:rPr>
        <w:t>36</w:t>
      </w:r>
      <w:r w:rsidRPr="001806D3">
        <w:rPr>
          <w:rFonts w:eastAsiaTheme="minorEastAsia" w:cs="Arial"/>
          <w:b/>
        </w:rPr>
        <w:t xml:space="preserve"> through </w:t>
      </w:r>
      <w:r>
        <w:rPr>
          <w:rFonts w:eastAsiaTheme="minorEastAsia" w:cs="Arial"/>
          <w:b/>
        </w:rPr>
        <w:t>4</w:t>
      </w:r>
      <w:r w:rsidR="005D63F4">
        <w:rPr>
          <w:rFonts w:eastAsiaTheme="minorEastAsia" w:cs="Arial"/>
          <w:b/>
        </w:rPr>
        <w:t>3</w:t>
      </w:r>
      <w:r w:rsidRPr="001806D3">
        <w:rPr>
          <w:rFonts w:eastAsiaTheme="minorEastAsia" w:cs="Arial"/>
          <w:b/>
        </w:rPr>
        <w:t xml:space="preserve"> with the best term using the following code:</w:t>
      </w:r>
    </w:p>
    <w:tbl>
      <w:tblPr>
        <w:tblStyle w:val="TableGrid"/>
        <w:tblW w:w="0" w:type="auto"/>
        <w:jc w:val="center"/>
        <w:tblLook w:val="04A0" w:firstRow="1" w:lastRow="0" w:firstColumn="1" w:lastColumn="0" w:noHBand="0" w:noVBand="1"/>
      </w:tblPr>
      <w:tblGrid>
        <w:gridCol w:w="630"/>
        <w:gridCol w:w="2179"/>
        <w:gridCol w:w="270"/>
        <w:gridCol w:w="490"/>
        <w:gridCol w:w="2408"/>
      </w:tblGrid>
      <w:tr w:rsidR="000558D8" w:rsidRPr="001806D3" w:rsidTr="00EB2ACF">
        <w:trPr>
          <w:jc w:val="center"/>
        </w:trPr>
        <w:tc>
          <w:tcPr>
            <w:tcW w:w="630" w:type="dxa"/>
            <w:tcBorders>
              <w:top w:val="nil"/>
              <w:left w:val="nil"/>
            </w:tcBorders>
            <w:shd w:val="clear" w:color="auto" w:fill="FFFFFF" w:themeFill="background1"/>
            <w:vAlign w:val="center"/>
          </w:tcPr>
          <w:p w:rsidR="000558D8" w:rsidRPr="001806D3" w:rsidRDefault="000558D8" w:rsidP="00F050C6">
            <w:pPr>
              <w:jc w:val="center"/>
              <w:rPr>
                <w:rFonts w:eastAsiaTheme="minorEastAsia" w:cs="Arial"/>
                <w:b/>
              </w:rPr>
            </w:pPr>
          </w:p>
        </w:tc>
        <w:tc>
          <w:tcPr>
            <w:tcW w:w="5347" w:type="dxa"/>
            <w:gridSpan w:val="4"/>
            <w:shd w:val="clear" w:color="auto" w:fill="BFBFBF" w:themeFill="background1" w:themeFillShade="BF"/>
          </w:tcPr>
          <w:p w:rsidR="000558D8" w:rsidRDefault="000558D8" w:rsidP="000558D8">
            <w:pPr>
              <w:tabs>
                <w:tab w:val="center" w:pos="1377"/>
              </w:tabs>
              <w:jc w:val="center"/>
              <w:rPr>
                <w:rFonts w:eastAsiaTheme="minorEastAsia" w:cs="Arial"/>
                <w:b/>
              </w:rPr>
            </w:pPr>
            <w:r>
              <w:rPr>
                <w:rFonts w:eastAsiaTheme="minorEastAsia" w:cs="Arial"/>
                <w:b/>
              </w:rPr>
              <w:t>Terms</w:t>
            </w:r>
          </w:p>
        </w:tc>
      </w:tr>
      <w:tr w:rsidR="000558D8" w:rsidRPr="001806D3" w:rsidTr="000558D8">
        <w:trPr>
          <w:jc w:val="center"/>
        </w:trPr>
        <w:tc>
          <w:tcPr>
            <w:tcW w:w="630" w:type="dxa"/>
            <w:shd w:val="clear" w:color="auto" w:fill="BFBFBF" w:themeFill="background1" w:themeFillShade="BF"/>
            <w:vAlign w:val="center"/>
          </w:tcPr>
          <w:p w:rsidR="000558D8" w:rsidRPr="001806D3" w:rsidRDefault="000558D8" w:rsidP="00F050C6">
            <w:pPr>
              <w:jc w:val="center"/>
              <w:rPr>
                <w:rFonts w:eastAsiaTheme="minorEastAsia" w:cs="Arial"/>
                <w:b/>
              </w:rPr>
            </w:pPr>
            <w:r w:rsidRPr="001806D3">
              <w:rPr>
                <w:rFonts w:eastAsiaTheme="minorEastAsia" w:cs="Arial"/>
                <w:b/>
              </w:rPr>
              <w:t>A</w:t>
            </w:r>
          </w:p>
        </w:tc>
        <w:tc>
          <w:tcPr>
            <w:tcW w:w="2179" w:type="dxa"/>
            <w:tcBorders>
              <w:right w:val="nil"/>
            </w:tcBorders>
          </w:tcPr>
          <w:p w:rsidR="000558D8" w:rsidRPr="001806D3" w:rsidRDefault="000558D8" w:rsidP="00F050C6">
            <w:pPr>
              <w:rPr>
                <w:rFonts w:eastAsiaTheme="minorEastAsia" w:cs="Arial"/>
              </w:rPr>
            </w:pPr>
            <w:r w:rsidRPr="001806D3">
              <w:rPr>
                <w:rFonts w:eastAsiaTheme="minorEastAsia" w:cs="Arial"/>
              </w:rPr>
              <w:t>Accrued Revenue</w:t>
            </w:r>
          </w:p>
        </w:tc>
        <w:tc>
          <w:tcPr>
            <w:tcW w:w="270" w:type="dxa"/>
            <w:tcBorders>
              <w:left w:val="nil"/>
              <w:bottom w:val="single" w:sz="4" w:space="0" w:color="auto"/>
            </w:tcBorders>
          </w:tcPr>
          <w:p w:rsidR="000558D8" w:rsidRPr="001806D3" w:rsidRDefault="000558D8" w:rsidP="00F050C6">
            <w:pPr>
              <w:rPr>
                <w:rFonts w:eastAsiaTheme="minorEastAsia" w:cs="Arial"/>
              </w:rPr>
            </w:pPr>
          </w:p>
        </w:tc>
        <w:tc>
          <w:tcPr>
            <w:tcW w:w="490" w:type="dxa"/>
            <w:shd w:val="clear" w:color="auto" w:fill="BFBFBF" w:themeFill="background1" w:themeFillShade="BF"/>
          </w:tcPr>
          <w:p w:rsidR="000558D8" w:rsidRPr="000558D8" w:rsidRDefault="000558D8" w:rsidP="00F050C6">
            <w:pPr>
              <w:rPr>
                <w:rFonts w:eastAsiaTheme="minorEastAsia" w:cs="Arial"/>
                <w:b/>
              </w:rPr>
            </w:pPr>
            <w:r w:rsidRPr="000558D8">
              <w:rPr>
                <w:rFonts w:eastAsiaTheme="minorEastAsia" w:cs="Arial"/>
                <w:b/>
              </w:rPr>
              <w:t>C</w:t>
            </w:r>
          </w:p>
        </w:tc>
        <w:tc>
          <w:tcPr>
            <w:tcW w:w="2408" w:type="dxa"/>
          </w:tcPr>
          <w:p w:rsidR="000558D8" w:rsidRPr="001806D3" w:rsidRDefault="000558D8" w:rsidP="00F050C6">
            <w:pPr>
              <w:rPr>
                <w:rFonts w:eastAsiaTheme="minorEastAsia" w:cs="Arial"/>
              </w:rPr>
            </w:pPr>
            <w:r>
              <w:rPr>
                <w:rFonts w:eastAsiaTheme="minorEastAsia" w:cs="Arial"/>
              </w:rPr>
              <w:t>Deferred Expense</w:t>
            </w:r>
          </w:p>
        </w:tc>
      </w:tr>
      <w:tr w:rsidR="000558D8" w:rsidRPr="001806D3" w:rsidTr="000558D8">
        <w:trPr>
          <w:jc w:val="center"/>
        </w:trPr>
        <w:tc>
          <w:tcPr>
            <w:tcW w:w="630" w:type="dxa"/>
            <w:shd w:val="clear" w:color="auto" w:fill="BFBFBF" w:themeFill="background1" w:themeFillShade="BF"/>
            <w:vAlign w:val="center"/>
          </w:tcPr>
          <w:p w:rsidR="000558D8" w:rsidRPr="001806D3" w:rsidRDefault="000558D8" w:rsidP="00F050C6">
            <w:pPr>
              <w:jc w:val="center"/>
              <w:rPr>
                <w:rFonts w:eastAsiaTheme="minorEastAsia" w:cs="Arial"/>
                <w:b/>
              </w:rPr>
            </w:pPr>
            <w:r w:rsidRPr="001806D3">
              <w:rPr>
                <w:rFonts w:eastAsiaTheme="minorEastAsia" w:cs="Arial"/>
                <w:b/>
              </w:rPr>
              <w:t>B</w:t>
            </w:r>
          </w:p>
        </w:tc>
        <w:tc>
          <w:tcPr>
            <w:tcW w:w="2179" w:type="dxa"/>
            <w:tcBorders>
              <w:right w:val="nil"/>
            </w:tcBorders>
          </w:tcPr>
          <w:p w:rsidR="000558D8" w:rsidRPr="001806D3" w:rsidRDefault="000558D8" w:rsidP="00F050C6">
            <w:pPr>
              <w:rPr>
                <w:rFonts w:eastAsiaTheme="minorEastAsia" w:cs="Arial"/>
              </w:rPr>
            </w:pPr>
            <w:r w:rsidRPr="001806D3">
              <w:rPr>
                <w:rFonts w:eastAsiaTheme="minorEastAsia" w:cs="Arial"/>
              </w:rPr>
              <w:t>Accrued Expense</w:t>
            </w:r>
          </w:p>
        </w:tc>
        <w:tc>
          <w:tcPr>
            <w:tcW w:w="270" w:type="dxa"/>
            <w:tcBorders>
              <w:left w:val="nil"/>
            </w:tcBorders>
          </w:tcPr>
          <w:p w:rsidR="000558D8" w:rsidRPr="001806D3" w:rsidRDefault="000558D8" w:rsidP="00F050C6">
            <w:pPr>
              <w:rPr>
                <w:rFonts w:eastAsiaTheme="minorEastAsia" w:cs="Arial"/>
              </w:rPr>
            </w:pPr>
          </w:p>
        </w:tc>
        <w:tc>
          <w:tcPr>
            <w:tcW w:w="490" w:type="dxa"/>
            <w:shd w:val="clear" w:color="auto" w:fill="BFBFBF" w:themeFill="background1" w:themeFillShade="BF"/>
          </w:tcPr>
          <w:p w:rsidR="000558D8" w:rsidRPr="000558D8" w:rsidRDefault="000558D8" w:rsidP="00F050C6">
            <w:pPr>
              <w:rPr>
                <w:rFonts w:eastAsiaTheme="minorEastAsia" w:cs="Arial"/>
                <w:b/>
              </w:rPr>
            </w:pPr>
            <w:r w:rsidRPr="000558D8">
              <w:rPr>
                <w:rFonts w:eastAsiaTheme="minorEastAsia" w:cs="Arial"/>
                <w:b/>
              </w:rPr>
              <w:t>D</w:t>
            </w:r>
          </w:p>
        </w:tc>
        <w:tc>
          <w:tcPr>
            <w:tcW w:w="2408" w:type="dxa"/>
          </w:tcPr>
          <w:p w:rsidR="000558D8" w:rsidRPr="001806D3" w:rsidRDefault="000558D8" w:rsidP="00F050C6">
            <w:pPr>
              <w:rPr>
                <w:rFonts w:eastAsiaTheme="minorEastAsia" w:cs="Arial"/>
              </w:rPr>
            </w:pPr>
            <w:r>
              <w:rPr>
                <w:rFonts w:eastAsiaTheme="minorEastAsia" w:cs="Arial"/>
              </w:rPr>
              <w:t>Deferred Revenue</w:t>
            </w:r>
          </w:p>
        </w:tc>
      </w:tr>
    </w:tbl>
    <w:p w:rsidR="00F050C6" w:rsidRPr="00F050C6" w:rsidRDefault="00F050C6" w:rsidP="00F050C6">
      <w:pPr>
        <w:rPr>
          <w:rFonts w:eastAsiaTheme="minorEastAsia" w:cs="Arial"/>
          <w:sz w:val="16"/>
          <w:szCs w:val="16"/>
        </w:rPr>
      </w:pPr>
    </w:p>
    <w:p w:rsidR="00F050C6" w:rsidRPr="001806D3" w:rsidRDefault="005D63F4" w:rsidP="00F050C6">
      <w:pPr>
        <w:rPr>
          <w:rFonts w:eastAsiaTheme="minorEastAsia" w:cs="Arial"/>
        </w:rPr>
      </w:pPr>
      <w:r>
        <w:rPr>
          <w:rFonts w:eastAsiaTheme="minorEastAsia" w:cs="Arial"/>
        </w:rPr>
        <w:t>36</w:t>
      </w:r>
      <w:r w:rsidR="00F050C6" w:rsidRPr="001806D3">
        <w:rPr>
          <w:rFonts w:eastAsiaTheme="minorEastAsia" w:cs="Arial"/>
        </w:rPr>
        <w:t xml:space="preserve">. </w:t>
      </w:r>
      <w:proofErr w:type="gramStart"/>
      <w:r w:rsidR="00F050C6" w:rsidRPr="001806D3">
        <w:rPr>
          <w:rFonts w:eastAsiaTheme="minorEastAsia" w:cs="Arial"/>
        </w:rPr>
        <w:t>rent</w:t>
      </w:r>
      <w:proofErr w:type="gramEnd"/>
      <w:r w:rsidR="00F050C6" w:rsidRPr="001806D3">
        <w:rPr>
          <w:rFonts w:eastAsiaTheme="minorEastAsia" w:cs="Arial"/>
        </w:rPr>
        <w:t xml:space="preserve"> not yet collected; already earned but not yet recorded</w:t>
      </w:r>
    </w:p>
    <w:p w:rsidR="00F050C6" w:rsidRPr="001806D3" w:rsidRDefault="005D63F4" w:rsidP="00F050C6">
      <w:pPr>
        <w:rPr>
          <w:rFonts w:eastAsiaTheme="minorEastAsia" w:cs="Arial"/>
        </w:rPr>
      </w:pPr>
      <w:r>
        <w:rPr>
          <w:rFonts w:eastAsiaTheme="minorEastAsia" w:cs="Arial"/>
        </w:rPr>
        <w:t>37</w:t>
      </w:r>
      <w:r w:rsidR="00F050C6" w:rsidRPr="001806D3">
        <w:rPr>
          <w:rFonts w:eastAsiaTheme="minorEastAsia" w:cs="Arial"/>
        </w:rPr>
        <w:t xml:space="preserve">. </w:t>
      </w:r>
      <w:proofErr w:type="gramStart"/>
      <w:r w:rsidR="00F050C6" w:rsidRPr="001806D3">
        <w:rPr>
          <w:rFonts w:eastAsiaTheme="minorEastAsia" w:cs="Arial"/>
        </w:rPr>
        <w:t>office</w:t>
      </w:r>
      <w:proofErr w:type="gramEnd"/>
      <w:r w:rsidR="00F050C6" w:rsidRPr="001806D3">
        <w:rPr>
          <w:rFonts w:eastAsiaTheme="minorEastAsia" w:cs="Arial"/>
        </w:rPr>
        <w:t xml:space="preserve"> supplies on hand and paid for; will be used next accounting period</w:t>
      </w:r>
    </w:p>
    <w:p w:rsidR="00F050C6" w:rsidRPr="001806D3" w:rsidRDefault="005D63F4" w:rsidP="00F050C6">
      <w:pPr>
        <w:rPr>
          <w:rFonts w:eastAsiaTheme="minorEastAsia" w:cs="Arial"/>
        </w:rPr>
      </w:pPr>
      <w:r>
        <w:rPr>
          <w:rFonts w:eastAsiaTheme="minorEastAsia" w:cs="Arial"/>
        </w:rPr>
        <w:t>38</w:t>
      </w:r>
      <w:r w:rsidR="00F050C6" w:rsidRPr="001806D3">
        <w:rPr>
          <w:rFonts w:eastAsiaTheme="minorEastAsia" w:cs="Arial"/>
        </w:rPr>
        <w:t xml:space="preserve">. </w:t>
      </w:r>
      <w:proofErr w:type="gramStart"/>
      <w:r w:rsidR="00F050C6" w:rsidRPr="001806D3">
        <w:rPr>
          <w:rFonts w:eastAsiaTheme="minorEastAsia" w:cs="Arial"/>
        </w:rPr>
        <w:t>rent</w:t>
      </w:r>
      <w:proofErr w:type="gramEnd"/>
      <w:r w:rsidR="00F050C6" w:rsidRPr="001806D3">
        <w:rPr>
          <w:rFonts w:eastAsiaTheme="minorEastAsia" w:cs="Arial"/>
        </w:rPr>
        <w:t xml:space="preserve"> revenue collected; not yet earned</w:t>
      </w:r>
    </w:p>
    <w:p w:rsidR="00F050C6" w:rsidRPr="001806D3" w:rsidRDefault="005D63F4" w:rsidP="00F050C6">
      <w:pPr>
        <w:rPr>
          <w:rFonts w:eastAsiaTheme="minorEastAsia" w:cs="Arial"/>
        </w:rPr>
      </w:pPr>
      <w:r>
        <w:rPr>
          <w:rFonts w:eastAsiaTheme="minorEastAsia" w:cs="Arial"/>
        </w:rPr>
        <w:t>39</w:t>
      </w:r>
      <w:r w:rsidR="00F050C6" w:rsidRPr="001806D3">
        <w:rPr>
          <w:rFonts w:eastAsiaTheme="minorEastAsia" w:cs="Arial"/>
        </w:rPr>
        <w:t xml:space="preserve">. </w:t>
      </w:r>
      <w:proofErr w:type="gramStart"/>
      <w:r w:rsidR="00F050C6" w:rsidRPr="001806D3">
        <w:rPr>
          <w:rFonts w:eastAsiaTheme="minorEastAsia" w:cs="Arial"/>
        </w:rPr>
        <w:t>owes</w:t>
      </w:r>
      <w:proofErr w:type="gramEnd"/>
      <w:r w:rsidR="00F050C6" w:rsidRPr="001806D3">
        <w:rPr>
          <w:rFonts w:eastAsiaTheme="minorEastAsia" w:cs="Arial"/>
        </w:rPr>
        <w:t xml:space="preserve"> property taxes assessed; but has not yet recorded or paid the taxes</w:t>
      </w:r>
    </w:p>
    <w:p w:rsidR="00F050C6" w:rsidRPr="001806D3" w:rsidRDefault="005D63F4" w:rsidP="00F050C6">
      <w:pPr>
        <w:rPr>
          <w:rFonts w:eastAsiaTheme="minorEastAsia" w:cs="Arial"/>
        </w:rPr>
      </w:pPr>
      <w:r>
        <w:rPr>
          <w:rFonts w:eastAsiaTheme="minorEastAsia" w:cs="Arial"/>
        </w:rPr>
        <w:t>40</w:t>
      </w:r>
      <w:r w:rsidR="00F050C6" w:rsidRPr="001806D3">
        <w:rPr>
          <w:rFonts w:eastAsiaTheme="minorEastAsia" w:cs="Arial"/>
        </w:rPr>
        <w:t xml:space="preserve">. </w:t>
      </w:r>
      <w:proofErr w:type="gramStart"/>
      <w:r w:rsidR="00F050C6" w:rsidRPr="001806D3">
        <w:rPr>
          <w:rFonts w:eastAsiaTheme="minorEastAsia" w:cs="Arial"/>
        </w:rPr>
        <w:t>an</w:t>
      </w:r>
      <w:proofErr w:type="gramEnd"/>
      <w:r w:rsidR="00F050C6" w:rsidRPr="001806D3">
        <w:rPr>
          <w:rFonts w:eastAsiaTheme="minorEastAsia" w:cs="Arial"/>
        </w:rPr>
        <w:t xml:space="preserve"> expense not yet incurred; paid in advance</w:t>
      </w:r>
    </w:p>
    <w:p w:rsidR="00F050C6" w:rsidRPr="001806D3" w:rsidRDefault="005D63F4" w:rsidP="00F050C6">
      <w:pPr>
        <w:rPr>
          <w:rFonts w:eastAsiaTheme="minorEastAsia" w:cs="Arial"/>
        </w:rPr>
      </w:pPr>
      <w:r>
        <w:rPr>
          <w:rFonts w:eastAsiaTheme="minorEastAsia" w:cs="Arial"/>
        </w:rPr>
        <w:t>41</w:t>
      </w:r>
      <w:r w:rsidR="00F050C6" w:rsidRPr="001806D3">
        <w:rPr>
          <w:rFonts w:eastAsiaTheme="minorEastAsia" w:cs="Arial"/>
        </w:rPr>
        <w:t xml:space="preserve">. </w:t>
      </w:r>
      <w:proofErr w:type="gramStart"/>
      <w:r w:rsidR="00F050C6" w:rsidRPr="001806D3">
        <w:rPr>
          <w:rFonts w:eastAsiaTheme="minorEastAsia" w:cs="Arial"/>
        </w:rPr>
        <w:t>a</w:t>
      </w:r>
      <w:proofErr w:type="gramEnd"/>
      <w:r w:rsidR="00F050C6" w:rsidRPr="001806D3">
        <w:rPr>
          <w:rFonts w:eastAsiaTheme="minorEastAsia" w:cs="Arial"/>
        </w:rPr>
        <w:t xml:space="preserve"> revenue is earned; not yet recorded or collected</w:t>
      </w:r>
    </w:p>
    <w:p w:rsidR="00F050C6" w:rsidRPr="001806D3" w:rsidRDefault="005D63F4" w:rsidP="00F050C6">
      <w:pPr>
        <w:rPr>
          <w:rFonts w:eastAsiaTheme="minorEastAsia" w:cs="Arial"/>
        </w:rPr>
      </w:pPr>
      <w:r>
        <w:rPr>
          <w:rFonts w:eastAsiaTheme="minorEastAsia" w:cs="Arial"/>
        </w:rPr>
        <w:t>42</w:t>
      </w:r>
      <w:r w:rsidR="00F050C6" w:rsidRPr="001806D3">
        <w:rPr>
          <w:rFonts w:eastAsiaTheme="minorEastAsia" w:cs="Arial"/>
        </w:rPr>
        <w:t xml:space="preserve">. </w:t>
      </w:r>
      <w:proofErr w:type="gramStart"/>
      <w:r w:rsidR="00F050C6" w:rsidRPr="001806D3">
        <w:rPr>
          <w:rFonts w:eastAsiaTheme="minorEastAsia" w:cs="Arial"/>
        </w:rPr>
        <w:t>an</w:t>
      </w:r>
      <w:proofErr w:type="gramEnd"/>
      <w:r w:rsidR="00F050C6" w:rsidRPr="001806D3">
        <w:rPr>
          <w:rFonts w:eastAsiaTheme="minorEastAsia" w:cs="Arial"/>
        </w:rPr>
        <w:t xml:space="preserve"> expense is incurred; not yet paid or recorded</w:t>
      </w:r>
    </w:p>
    <w:p w:rsidR="000C3E5D" w:rsidRDefault="00F050C6" w:rsidP="000558D8">
      <w:pPr>
        <w:rPr>
          <w:rFonts w:eastAsiaTheme="minorEastAsia" w:cs="Arial"/>
          <w:b/>
        </w:rPr>
      </w:pPr>
      <w:r w:rsidRPr="001806D3">
        <w:rPr>
          <w:rFonts w:eastAsiaTheme="minorEastAsia" w:cs="Arial"/>
        </w:rPr>
        <w:t>4</w:t>
      </w:r>
      <w:r w:rsidR="005D63F4">
        <w:rPr>
          <w:rFonts w:eastAsiaTheme="minorEastAsia" w:cs="Arial"/>
        </w:rPr>
        <w:t>3</w:t>
      </w:r>
      <w:r w:rsidRPr="001806D3">
        <w:rPr>
          <w:rFonts w:eastAsiaTheme="minorEastAsia" w:cs="Arial"/>
        </w:rPr>
        <w:t xml:space="preserve">. </w:t>
      </w:r>
      <w:proofErr w:type="gramStart"/>
      <w:r w:rsidRPr="001806D3">
        <w:rPr>
          <w:rFonts w:eastAsiaTheme="minorEastAsia" w:cs="Arial"/>
        </w:rPr>
        <w:t>a</w:t>
      </w:r>
      <w:proofErr w:type="gramEnd"/>
      <w:r w:rsidRPr="001806D3">
        <w:rPr>
          <w:rFonts w:eastAsiaTheme="minorEastAsia" w:cs="Arial"/>
        </w:rPr>
        <w:t xml:space="preserve"> revenue not yet earned; collected in advance</w:t>
      </w:r>
      <w:r w:rsidR="000C3E5D">
        <w:rPr>
          <w:rFonts w:cs="Arial"/>
          <w:b/>
        </w:rPr>
        <w:br w:type="page"/>
      </w:r>
    </w:p>
    <w:p w:rsidR="009D362A" w:rsidRPr="00561BAD" w:rsidRDefault="000558D8" w:rsidP="008D6F0A">
      <w:pPr>
        <w:pStyle w:val="NoSpacing"/>
        <w:rPr>
          <w:rFonts w:ascii="Arial" w:hAnsi="Arial" w:cs="Arial"/>
          <w:b/>
          <w:sz w:val="24"/>
          <w:szCs w:val="24"/>
          <w:u w:val="single"/>
        </w:rPr>
      </w:pPr>
      <w:r>
        <w:rPr>
          <w:rFonts w:ascii="Arial" w:hAnsi="Arial" w:cs="Arial"/>
          <w:b/>
          <w:sz w:val="24"/>
          <w:szCs w:val="24"/>
          <w:u w:val="single"/>
        </w:rPr>
        <w:lastRenderedPageBreak/>
        <w:t>Group 7</w:t>
      </w:r>
    </w:p>
    <w:p w:rsidR="00561BAD" w:rsidRPr="00561BAD" w:rsidRDefault="00561BAD" w:rsidP="00561BAD">
      <w:pPr>
        <w:jc w:val="both"/>
        <w:rPr>
          <w:rFonts w:eastAsiaTheme="minorEastAsia" w:cs="Arial"/>
          <w:b/>
        </w:rPr>
      </w:pPr>
      <w:r w:rsidRPr="00561BAD">
        <w:rPr>
          <w:rFonts w:eastAsiaTheme="minorEastAsia" w:cs="Arial"/>
          <w:b/>
        </w:rPr>
        <w:t xml:space="preserve">Refer to Table </w:t>
      </w:r>
      <w:r>
        <w:rPr>
          <w:rFonts w:eastAsiaTheme="minorEastAsia" w:cs="Arial"/>
          <w:b/>
        </w:rPr>
        <w:t>1</w:t>
      </w:r>
      <w:r w:rsidRPr="00561BAD">
        <w:rPr>
          <w:rFonts w:eastAsiaTheme="minorEastAsia" w:cs="Arial"/>
          <w:b/>
        </w:rPr>
        <w:t xml:space="preserve"> on page </w:t>
      </w:r>
      <w:r w:rsidR="005D63F4">
        <w:rPr>
          <w:rFonts w:eastAsiaTheme="minorEastAsia" w:cs="Arial"/>
          <w:b/>
        </w:rPr>
        <w:t>7</w:t>
      </w:r>
      <w:r w:rsidRPr="00561BAD">
        <w:rPr>
          <w:rFonts w:eastAsiaTheme="minorEastAsia" w:cs="Arial"/>
          <w:b/>
        </w:rPr>
        <w:t xml:space="preserve">.  For questions </w:t>
      </w:r>
      <w:r>
        <w:rPr>
          <w:rFonts w:eastAsiaTheme="minorEastAsia" w:cs="Arial"/>
          <w:b/>
        </w:rPr>
        <w:t>4</w:t>
      </w:r>
      <w:r w:rsidR="005D63F4">
        <w:rPr>
          <w:rFonts w:eastAsiaTheme="minorEastAsia" w:cs="Arial"/>
          <w:b/>
        </w:rPr>
        <w:t>4</w:t>
      </w:r>
      <w:r w:rsidRPr="00561BAD">
        <w:rPr>
          <w:rFonts w:eastAsiaTheme="minorEastAsia" w:cs="Arial"/>
          <w:b/>
        </w:rPr>
        <w:t xml:space="preserve"> through </w:t>
      </w:r>
      <w:r>
        <w:rPr>
          <w:rFonts w:eastAsiaTheme="minorEastAsia" w:cs="Arial"/>
          <w:b/>
        </w:rPr>
        <w:t>5</w:t>
      </w:r>
      <w:r w:rsidR="005D63F4">
        <w:rPr>
          <w:rFonts w:eastAsiaTheme="minorEastAsia" w:cs="Arial"/>
          <w:b/>
        </w:rPr>
        <w:t>7</w:t>
      </w:r>
      <w:r w:rsidRPr="00561BAD">
        <w:rPr>
          <w:rFonts w:eastAsiaTheme="minorEastAsia" w:cs="Arial"/>
          <w:b/>
        </w:rPr>
        <w:t>, write the correct amount on your answer sheet.</w:t>
      </w:r>
    </w:p>
    <w:p w:rsidR="00561BAD" w:rsidRPr="00561BAD" w:rsidRDefault="00561BAD" w:rsidP="00561BAD">
      <w:pPr>
        <w:rPr>
          <w:rFonts w:eastAsiaTheme="minorEastAsia" w:cs="Arial"/>
        </w:rPr>
      </w:pPr>
    </w:p>
    <w:p w:rsidR="00561BAD" w:rsidRPr="00561BAD" w:rsidRDefault="00561BAD" w:rsidP="00561BAD">
      <w:pPr>
        <w:rPr>
          <w:rFonts w:eastAsiaTheme="minorEastAsia" w:cs="Arial"/>
        </w:rPr>
      </w:pPr>
      <w:r>
        <w:rPr>
          <w:rFonts w:eastAsiaTheme="minorEastAsia" w:cs="Arial"/>
        </w:rPr>
        <w:t>4</w:t>
      </w:r>
      <w:r w:rsidR="005D63F4">
        <w:rPr>
          <w:rFonts w:eastAsiaTheme="minorEastAsia" w:cs="Arial"/>
        </w:rPr>
        <w:t>4</w:t>
      </w:r>
      <w:r w:rsidRPr="00561BAD">
        <w:rPr>
          <w:rFonts w:eastAsiaTheme="minorEastAsia" w:cs="Arial"/>
        </w:rPr>
        <w:t xml:space="preserve">. What was the amount of partner capital for Jordan Day in the general ledger </w:t>
      </w:r>
      <w:proofErr w:type="gramStart"/>
      <w:r w:rsidRPr="00561BAD">
        <w:rPr>
          <w:rFonts w:eastAsiaTheme="minorEastAsia" w:cs="Arial"/>
        </w:rPr>
        <w:t>on</w:t>
      </w:r>
      <w:proofErr w:type="gramEnd"/>
    </w:p>
    <w:p w:rsidR="00561BAD" w:rsidRPr="00561BAD" w:rsidRDefault="00561BAD" w:rsidP="00561BAD">
      <w:pPr>
        <w:rPr>
          <w:rFonts w:eastAsiaTheme="minorEastAsia" w:cs="Arial"/>
        </w:rPr>
      </w:pPr>
      <w:r w:rsidRPr="00561BAD">
        <w:rPr>
          <w:rFonts w:eastAsiaTheme="minorEastAsia" w:cs="Arial"/>
        </w:rPr>
        <w:tab/>
        <w:t xml:space="preserve">12-31-14 (the first year of operations) before adjusting and closing entries were </w:t>
      </w:r>
    </w:p>
    <w:p w:rsidR="00561BAD" w:rsidRPr="00561BAD" w:rsidRDefault="00561BAD" w:rsidP="00561BAD">
      <w:pPr>
        <w:rPr>
          <w:rFonts w:eastAsiaTheme="minorEastAsia" w:cs="Arial"/>
        </w:rPr>
      </w:pPr>
      <w:r w:rsidRPr="00561BAD">
        <w:rPr>
          <w:rFonts w:eastAsiaTheme="minorEastAsia" w:cs="Arial"/>
        </w:rPr>
        <w:tab/>
        <w:t>posted for the year 2014?</w:t>
      </w:r>
    </w:p>
    <w:p w:rsidR="00561BAD" w:rsidRPr="00561BAD" w:rsidRDefault="00561BAD" w:rsidP="00561BAD">
      <w:pPr>
        <w:rPr>
          <w:rFonts w:eastAsiaTheme="minorEastAsia" w:cs="Arial"/>
        </w:rPr>
      </w:pPr>
    </w:p>
    <w:p w:rsidR="00561BAD" w:rsidRPr="00561BAD" w:rsidRDefault="00561BAD" w:rsidP="00561BAD">
      <w:r>
        <w:t>4</w:t>
      </w:r>
      <w:r w:rsidR="005D63F4">
        <w:t>5</w:t>
      </w:r>
      <w:r w:rsidRPr="00561BAD">
        <w:t xml:space="preserve">. What was the balance in Bubba Rose’s general ledger capital account on the </w:t>
      </w:r>
      <w:proofErr w:type="gramStart"/>
      <w:r w:rsidRPr="00561BAD">
        <w:t>first</w:t>
      </w:r>
      <w:proofErr w:type="gramEnd"/>
    </w:p>
    <w:p w:rsidR="00561BAD" w:rsidRPr="00561BAD" w:rsidRDefault="00561BAD" w:rsidP="00561BAD">
      <w:r w:rsidRPr="00561BAD">
        <w:tab/>
        <w:t>day of the second year of operations (January 1, 2015)?</w:t>
      </w:r>
    </w:p>
    <w:p w:rsidR="00561BAD" w:rsidRPr="00561BAD" w:rsidRDefault="00561BAD" w:rsidP="00561BAD"/>
    <w:p w:rsidR="00561BAD" w:rsidRPr="00561BAD" w:rsidRDefault="00561BAD" w:rsidP="00561BAD">
      <w:r>
        <w:t>4</w:t>
      </w:r>
      <w:r w:rsidR="005D63F4">
        <w:t>6</w:t>
      </w:r>
      <w:r w:rsidRPr="00561BAD">
        <w:t xml:space="preserve">.  On the worksheet for 2015, what is the amount in the Trial Balance for the </w:t>
      </w:r>
      <w:proofErr w:type="gramStart"/>
      <w:r w:rsidRPr="00561BAD">
        <w:t>partner</w:t>
      </w:r>
      <w:proofErr w:type="gramEnd"/>
    </w:p>
    <w:p w:rsidR="00561BAD" w:rsidRPr="00561BAD" w:rsidRDefault="00561BAD" w:rsidP="00561BAD">
      <w:r w:rsidRPr="00561BAD">
        <w:tab/>
        <w:t>capital account for Rickie Watson?</w:t>
      </w:r>
    </w:p>
    <w:p w:rsidR="00561BAD" w:rsidRPr="00561BAD" w:rsidRDefault="00561BAD" w:rsidP="00561BAD"/>
    <w:p w:rsidR="00561BAD" w:rsidRPr="00561BAD" w:rsidRDefault="00561BAD" w:rsidP="00561BAD">
      <w:r>
        <w:t>4</w:t>
      </w:r>
      <w:r w:rsidR="005D63F4">
        <w:t>7</w:t>
      </w:r>
      <w:r w:rsidRPr="00561BAD">
        <w:t xml:space="preserve">. On the worksheet for 2015, what is the subtotal of the Income Statement </w:t>
      </w:r>
      <w:proofErr w:type="gramStart"/>
      <w:r w:rsidRPr="00561BAD">
        <w:t>Debit</w:t>
      </w:r>
      <w:proofErr w:type="gramEnd"/>
    </w:p>
    <w:p w:rsidR="00561BAD" w:rsidRPr="00561BAD" w:rsidRDefault="00561BAD" w:rsidP="00561BAD">
      <w:pPr>
        <w:tabs>
          <w:tab w:val="left" w:pos="403"/>
        </w:tabs>
      </w:pPr>
      <w:r w:rsidRPr="00561BAD">
        <w:tab/>
        <w:t>column</w:t>
      </w:r>
      <w:r w:rsidRPr="00561BAD">
        <w:tab/>
        <w:t>before net income or net loss is calculated?</w:t>
      </w:r>
    </w:p>
    <w:p w:rsidR="00561BAD" w:rsidRPr="00561BAD" w:rsidRDefault="00561BAD" w:rsidP="00561BAD">
      <w:pPr>
        <w:tabs>
          <w:tab w:val="left" w:pos="403"/>
        </w:tabs>
      </w:pPr>
    </w:p>
    <w:p w:rsidR="00561BAD" w:rsidRPr="00561BAD" w:rsidRDefault="005D63F4" w:rsidP="00561BAD">
      <w:pPr>
        <w:tabs>
          <w:tab w:val="left" w:pos="403"/>
        </w:tabs>
      </w:pPr>
      <w:r>
        <w:t>48</w:t>
      </w:r>
      <w:r w:rsidR="00561BAD" w:rsidRPr="00561BAD">
        <w:t xml:space="preserve">. On the worksheet for 2015, what is the subtotal of the Balance Sheet Debit </w:t>
      </w:r>
      <w:proofErr w:type="gramStart"/>
      <w:r w:rsidR="00561BAD" w:rsidRPr="00561BAD">
        <w:t>column</w:t>
      </w:r>
      <w:proofErr w:type="gramEnd"/>
    </w:p>
    <w:p w:rsidR="00561BAD" w:rsidRPr="00561BAD" w:rsidRDefault="00561BAD" w:rsidP="00561BAD">
      <w:pPr>
        <w:tabs>
          <w:tab w:val="left" w:pos="403"/>
        </w:tabs>
      </w:pPr>
      <w:r w:rsidRPr="00561BAD">
        <w:tab/>
        <w:t>before net income or net loss is calculated?</w:t>
      </w:r>
    </w:p>
    <w:p w:rsidR="00561BAD" w:rsidRPr="00561BAD" w:rsidRDefault="00561BAD" w:rsidP="00561BAD">
      <w:pPr>
        <w:rPr>
          <w:rFonts w:eastAsiaTheme="minorEastAsia" w:cs="Arial"/>
        </w:rPr>
      </w:pPr>
    </w:p>
    <w:p w:rsidR="00561BAD" w:rsidRPr="00561BAD" w:rsidRDefault="00561BAD" w:rsidP="003A5E33">
      <w:pPr>
        <w:ind w:hanging="90"/>
        <w:rPr>
          <w:rFonts w:eastAsiaTheme="minorEastAsia" w:cs="Arial"/>
        </w:rPr>
      </w:pPr>
      <w:r w:rsidRPr="00561BAD">
        <w:rPr>
          <w:rFonts w:eastAsiaTheme="minorEastAsia" w:cs="Arial"/>
        </w:rPr>
        <w:t>*</w:t>
      </w:r>
      <w:r w:rsidR="005D63F4">
        <w:rPr>
          <w:rFonts w:eastAsiaTheme="minorEastAsia" w:cs="Arial"/>
        </w:rPr>
        <w:t>49</w:t>
      </w:r>
      <w:r w:rsidRPr="00561BAD">
        <w:rPr>
          <w:rFonts w:eastAsiaTheme="minorEastAsia" w:cs="Arial"/>
        </w:rPr>
        <w:t>. On the worksheet for 2015, what is the correct amount of Accounts Payable?</w:t>
      </w:r>
    </w:p>
    <w:p w:rsidR="00561BAD" w:rsidRPr="00561BAD" w:rsidRDefault="00561BAD" w:rsidP="00561BAD">
      <w:pPr>
        <w:rPr>
          <w:rFonts w:eastAsiaTheme="minorEastAsia" w:cs="Arial"/>
        </w:rPr>
      </w:pPr>
    </w:p>
    <w:p w:rsidR="00561BAD" w:rsidRPr="00561BAD" w:rsidRDefault="00561BAD" w:rsidP="00561BAD">
      <w:pPr>
        <w:rPr>
          <w:rFonts w:eastAsiaTheme="minorEastAsia" w:cs="Arial"/>
          <w:u w:val="single"/>
        </w:rPr>
      </w:pPr>
      <w:r w:rsidRPr="00561BAD">
        <w:rPr>
          <w:rFonts w:eastAsiaTheme="minorEastAsia" w:cs="Arial"/>
          <w:u w:val="single"/>
        </w:rPr>
        <w:t>What is the correct amount of:</w:t>
      </w:r>
    </w:p>
    <w:p w:rsidR="00561BAD" w:rsidRPr="00561BAD" w:rsidRDefault="00561BAD" w:rsidP="00561BAD">
      <w:pPr>
        <w:rPr>
          <w:rFonts w:eastAsiaTheme="minorEastAsia" w:cs="Arial"/>
        </w:rPr>
      </w:pPr>
    </w:p>
    <w:p w:rsidR="00561BAD" w:rsidRPr="00561BAD" w:rsidRDefault="00561BAD" w:rsidP="003A5E33">
      <w:pPr>
        <w:rPr>
          <w:rFonts w:eastAsiaTheme="minorEastAsia" w:cs="Arial"/>
        </w:rPr>
      </w:pPr>
      <w:r>
        <w:rPr>
          <w:rFonts w:eastAsiaTheme="minorEastAsia" w:cs="Arial"/>
        </w:rPr>
        <w:t>5</w:t>
      </w:r>
      <w:r w:rsidR="005D63F4">
        <w:rPr>
          <w:rFonts w:eastAsiaTheme="minorEastAsia" w:cs="Arial"/>
        </w:rPr>
        <w:t>0</w:t>
      </w:r>
      <w:r w:rsidRPr="00561BAD">
        <w:rPr>
          <w:rFonts w:eastAsiaTheme="minorEastAsia" w:cs="Arial"/>
        </w:rPr>
        <w:t>. Beginning Merchandise Inventory on January 1, 2015</w:t>
      </w:r>
    </w:p>
    <w:p w:rsidR="00561BAD" w:rsidRPr="00561BAD" w:rsidRDefault="00561BAD" w:rsidP="00561BAD">
      <w:pPr>
        <w:rPr>
          <w:rFonts w:eastAsiaTheme="minorEastAsia" w:cs="Arial"/>
        </w:rPr>
      </w:pPr>
      <w:r>
        <w:rPr>
          <w:rFonts w:eastAsiaTheme="minorEastAsia" w:cs="Arial"/>
        </w:rPr>
        <w:t>5</w:t>
      </w:r>
      <w:r w:rsidR="005D63F4">
        <w:rPr>
          <w:rFonts w:eastAsiaTheme="minorEastAsia" w:cs="Arial"/>
        </w:rPr>
        <w:t>1</w:t>
      </w:r>
      <w:r w:rsidRPr="00561BAD">
        <w:rPr>
          <w:rFonts w:eastAsiaTheme="minorEastAsia" w:cs="Arial"/>
        </w:rPr>
        <w:t>. Cost of Merchandise Available for Sale</w:t>
      </w:r>
    </w:p>
    <w:p w:rsidR="00561BAD" w:rsidRPr="00561BAD" w:rsidRDefault="00561BAD" w:rsidP="00561BAD">
      <w:pPr>
        <w:rPr>
          <w:rFonts w:eastAsiaTheme="minorEastAsia" w:cs="Arial"/>
        </w:rPr>
      </w:pPr>
      <w:r>
        <w:rPr>
          <w:rFonts w:eastAsiaTheme="minorEastAsia" w:cs="Arial"/>
        </w:rPr>
        <w:t>5</w:t>
      </w:r>
      <w:r w:rsidR="005D63F4">
        <w:rPr>
          <w:rFonts w:eastAsiaTheme="minorEastAsia" w:cs="Arial"/>
        </w:rPr>
        <w:t>2</w:t>
      </w:r>
      <w:r w:rsidRPr="00561BAD">
        <w:rPr>
          <w:rFonts w:eastAsiaTheme="minorEastAsia" w:cs="Arial"/>
        </w:rPr>
        <w:t>. Cost of Merchandise Sold</w:t>
      </w:r>
    </w:p>
    <w:p w:rsidR="00561BAD" w:rsidRPr="00561BAD" w:rsidRDefault="00561BAD" w:rsidP="00561BAD">
      <w:pPr>
        <w:ind w:hanging="90"/>
        <w:rPr>
          <w:rFonts w:eastAsiaTheme="minorEastAsia" w:cs="Arial"/>
        </w:rPr>
      </w:pPr>
      <w:r w:rsidRPr="00561BAD">
        <w:rPr>
          <w:rFonts w:eastAsiaTheme="minorEastAsia" w:cs="Arial"/>
        </w:rPr>
        <w:t>*</w:t>
      </w:r>
      <w:r>
        <w:rPr>
          <w:rFonts w:eastAsiaTheme="minorEastAsia" w:cs="Arial"/>
        </w:rPr>
        <w:t>5</w:t>
      </w:r>
      <w:r w:rsidR="005D63F4">
        <w:rPr>
          <w:rFonts w:eastAsiaTheme="minorEastAsia" w:cs="Arial"/>
        </w:rPr>
        <w:t>3</w:t>
      </w:r>
      <w:r w:rsidRPr="00561BAD">
        <w:rPr>
          <w:rFonts w:eastAsiaTheme="minorEastAsia" w:cs="Arial"/>
        </w:rPr>
        <w:t>. Gross Profit</w:t>
      </w:r>
    </w:p>
    <w:p w:rsidR="00561BAD" w:rsidRPr="00561BAD" w:rsidRDefault="00561BAD" w:rsidP="004C7857">
      <w:pPr>
        <w:rPr>
          <w:rFonts w:eastAsiaTheme="minorEastAsia" w:cs="Arial"/>
        </w:rPr>
      </w:pPr>
      <w:r>
        <w:rPr>
          <w:rFonts w:eastAsiaTheme="minorEastAsia" w:cs="Arial"/>
        </w:rPr>
        <w:t>5</w:t>
      </w:r>
      <w:r w:rsidR="005D63F4">
        <w:rPr>
          <w:rFonts w:eastAsiaTheme="minorEastAsia" w:cs="Arial"/>
        </w:rPr>
        <w:t>4</w:t>
      </w:r>
      <w:r w:rsidRPr="00561BAD">
        <w:rPr>
          <w:rFonts w:eastAsiaTheme="minorEastAsia" w:cs="Arial"/>
        </w:rPr>
        <w:t>. Sales</w:t>
      </w:r>
    </w:p>
    <w:p w:rsidR="00561BAD" w:rsidRPr="00561BAD" w:rsidRDefault="00561BAD" w:rsidP="00561BAD">
      <w:pPr>
        <w:rPr>
          <w:rFonts w:eastAsiaTheme="minorEastAsia" w:cs="Arial"/>
        </w:rPr>
      </w:pPr>
    </w:p>
    <w:p w:rsidR="00561BAD" w:rsidRPr="00561BAD" w:rsidRDefault="00561BAD" w:rsidP="00561BAD">
      <w:pPr>
        <w:rPr>
          <w:rFonts w:eastAsiaTheme="minorEastAsia" w:cs="Arial"/>
        </w:rPr>
      </w:pPr>
    </w:p>
    <w:p w:rsidR="00561BAD" w:rsidRPr="00561BAD" w:rsidRDefault="00561BAD" w:rsidP="00561BAD">
      <w:pPr>
        <w:jc w:val="both"/>
        <w:rPr>
          <w:rFonts w:eastAsiaTheme="minorEastAsia" w:cs="Arial"/>
        </w:rPr>
      </w:pPr>
      <w:r w:rsidRPr="00561BAD">
        <w:rPr>
          <w:rFonts w:eastAsiaTheme="minorEastAsia" w:cs="Arial"/>
          <w:b/>
          <w:i/>
          <w:u w:val="single"/>
        </w:rPr>
        <w:t>Three Under Par</w:t>
      </w:r>
      <w:r w:rsidRPr="00561BAD">
        <w:rPr>
          <w:rFonts w:eastAsiaTheme="minorEastAsia" w:cs="Arial"/>
        </w:rPr>
        <w:t xml:space="preserve"> prepared a statement called “Distribution of Net Income Statement” for the year ended December 31, 2015.  What is the correct amount of the net income to be journalized and posted to each of the following partner capital accounts? </w:t>
      </w:r>
    </w:p>
    <w:p w:rsidR="00561BAD" w:rsidRPr="00561BAD" w:rsidRDefault="00561BAD" w:rsidP="00561BAD">
      <w:pPr>
        <w:rPr>
          <w:rFonts w:eastAsiaTheme="minorEastAsia" w:cs="Arial"/>
        </w:rPr>
      </w:pPr>
    </w:p>
    <w:p w:rsidR="00561BAD" w:rsidRPr="00561BAD" w:rsidRDefault="00561BAD" w:rsidP="00561BAD">
      <w:pPr>
        <w:ind w:hanging="90"/>
        <w:rPr>
          <w:rFonts w:eastAsiaTheme="minorEastAsia" w:cs="Arial"/>
        </w:rPr>
      </w:pPr>
      <w:r w:rsidRPr="00561BAD">
        <w:rPr>
          <w:rFonts w:eastAsiaTheme="minorEastAsia" w:cs="Arial"/>
        </w:rPr>
        <w:t>*</w:t>
      </w:r>
      <w:r>
        <w:rPr>
          <w:rFonts w:eastAsiaTheme="minorEastAsia" w:cs="Arial"/>
        </w:rPr>
        <w:t>5</w:t>
      </w:r>
      <w:r w:rsidR="005D63F4">
        <w:rPr>
          <w:rFonts w:eastAsiaTheme="minorEastAsia" w:cs="Arial"/>
        </w:rPr>
        <w:t>5</w:t>
      </w:r>
      <w:r w:rsidRPr="00561BAD">
        <w:rPr>
          <w:rFonts w:eastAsiaTheme="minorEastAsia" w:cs="Arial"/>
        </w:rPr>
        <w:t>. Jordan Day, Capital</w:t>
      </w:r>
    </w:p>
    <w:p w:rsidR="00561BAD" w:rsidRPr="00561BAD" w:rsidRDefault="00561BAD" w:rsidP="00561BAD">
      <w:pPr>
        <w:ind w:hanging="90"/>
        <w:rPr>
          <w:rFonts w:eastAsiaTheme="minorEastAsia" w:cs="Arial"/>
        </w:rPr>
      </w:pPr>
      <w:r w:rsidRPr="00561BAD">
        <w:rPr>
          <w:rFonts w:eastAsiaTheme="minorEastAsia" w:cs="Arial"/>
        </w:rPr>
        <w:t>*</w:t>
      </w:r>
      <w:r>
        <w:rPr>
          <w:rFonts w:eastAsiaTheme="minorEastAsia" w:cs="Arial"/>
        </w:rPr>
        <w:t>5</w:t>
      </w:r>
      <w:r w:rsidR="005D63F4">
        <w:rPr>
          <w:rFonts w:eastAsiaTheme="minorEastAsia" w:cs="Arial"/>
        </w:rPr>
        <w:t>6</w:t>
      </w:r>
      <w:r w:rsidRPr="00561BAD">
        <w:rPr>
          <w:rFonts w:eastAsiaTheme="minorEastAsia" w:cs="Arial"/>
        </w:rPr>
        <w:t>. Bubba Rose, Capital</w:t>
      </w:r>
    </w:p>
    <w:p w:rsidR="00561BAD" w:rsidRPr="00561BAD" w:rsidRDefault="00561BAD" w:rsidP="00561BAD">
      <w:pPr>
        <w:ind w:hanging="90"/>
        <w:rPr>
          <w:rFonts w:eastAsiaTheme="minorEastAsia" w:cs="Arial"/>
        </w:rPr>
      </w:pPr>
      <w:r w:rsidRPr="00561BAD">
        <w:rPr>
          <w:rFonts w:eastAsiaTheme="minorEastAsia" w:cs="Arial"/>
        </w:rPr>
        <w:t>*</w:t>
      </w:r>
      <w:r>
        <w:rPr>
          <w:rFonts w:eastAsiaTheme="minorEastAsia" w:cs="Arial"/>
        </w:rPr>
        <w:t>5</w:t>
      </w:r>
      <w:r w:rsidR="005D63F4">
        <w:rPr>
          <w:rFonts w:eastAsiaTheme="minorEastAsia" w:cs="Arial"/>
        </w:rPr>
        <w:t>7</w:t>
      </w:r>
      <w:r w:rsidRPr="00561BAD">
        <w:rPr>
          <w:rFonts w:eastAsiaTheme="minorEastAsia" w:cs="Arial"/>
        </w:rPr>
        <w:t>. Rickie Watson, Capital</w:t>
      </w:r>
    </w:p>
    <w:p w:rsidR="00561BAD" w:rsidRPr="00561BAD" w:rsidRDefault="00561BAD" w:rsidP="00561BAD">
      <w:pPr>
        <w:rPr>
          <w:rFonts w:eastAsiaTheme="minorEastAsia" w:cs="Arial"/>
        </w:rPr>
      </w:pPr>
    </w:p>
    <w:p w:rsidR="00561BAD" w:rsidRDefault="00561BAD">
      <w:pPr>
        <w:spacing w:after="200" w:line="276" w:lineRule="auto"/>
        <w:rPr>
          <w:rFonts w:eastAsiaTheme="minorEastAsia" w:cs="Arial"/>
          <w:b/>
        </w:rPr>
      </w:pPr>
      <w:r>
        <w:rPr>
          <w:rFonts w:cs="Arial"/>
          <w:b/>
        </w:rPr>
        <w:br w:type="page"/>
      </w:r>
    </w:p>
    <w:p w:rsidR="000C3E5D" w:rsidRPr="007F0C45" w:rsidRDefault="000558D8" w:rsidP="008D6F0A">
      <w:pPr>
        <w:pStyle w:val="NoSpacing"/>
        <w:rPr>
          <w:rFonts w:ascii="Arial" w:hAnsi="Arial" w:cs="Arial"/>
          <w:b/>
          <w:sz w:val="24"/>
          <w:szCs w:val="24"/>
          <w:u w:val="single"/>
        </w:rPr>
      </w:pPr>
      <w:r>
        <w:rPr>
          <w:rFonts w:ascii="Arial" w:hAnsi="Arial" w:cs="Arial"/>
          <w:b/>
          <w:sz w:val="24"/>
          <w:szCs w:val="24"/>
          <w:u w:val="single"/>
        </w:rPr>
        <w:lastRenderedPageBreak/>
        <w:t>Group 8</w:t>
      </w:r>
    </w:p>
    <w:p w:rsidR="00C915B6" w:rsidRPr="00436CD1" w:rsidRDefault="007F0C45" w:rsidP="00C915B6">
      <w:pPr>
        <w:pStyle w:val="NoSpacing"/>
        <w:jc w:val="both"/>
        <w:rPr>
          <w:rFonts w:ascii="Arial" w:hAnsi="Arial" w:cs="Arial"/>
          <w:b/>
          <w:sz w:val="24"/>
          <w:szCs w:val="24"/>
        </w:rPr>
      </w:pPr>
      <w:r>
        <w:rPr>
          <w:rFonts w:ascii="Arial" w:hAnsi="Arial" w:cs="Arial"/>
          <w:b/>
          <w:sz w:val="24"/>
          <w:szCs w:val="24"/>
        </w:rPr>
        <w:t>Refer to Table 2</w:t>
      </w:r>
      <w:r w:rsidR="00C915B6" w:rsidRPr="00436CD1">
        <w:rPr>
          <w:rFonts w:ascii="Arial" w:hAnsi="Arial" w:cs="Arial"/>
          <w:b/>
          <w:sz w:val="24"/>
          <w:szCs w:val="24"/>
        </w:rPr>
        <w:t xml:space="preserve"> on page</w:t>
      </w:r>
      <w:r w:rsidR="007553E8">
        <w:rPr>
          <w:rFonts w:ascii="Arial" w:hAnsi="Arial" w:cs="Arial"/>
          <w:b/>
          <w:sz w:val="24"/>
          <w:szCs w:val="24"/>
        </w:rPr>
        <w:t xml:space="preserve">s </w:t>
      </w:r>
      <w:r w:rsidR="005D63F4">
        <w:rPr>
          <w:rFonts w:ascii="Arial" w:hAnsi="Arial" w:cs="Arial"/>
          <w:b/>
          <w:sz w:val="24"/>
          <w:szCs w:val="24"/>
        </w:rPr>
        <w:t>8</w:t>
      </w:r>
      <w:r w:rsidR="007553E8">
        <w:rPr>
          <w:rFonts w:ascii="Arial" w:hAnsi="Arial" w:cs="Arial"/>
          <w:b/>
          <w:sz w:val="24"/>
          <w:szCs w:val="24"/>
        </w:rPr>
        <w:t xml:space="preserve"> and </w:t>
      </w:r>
      <w:r w:rsidR="005D63F4">
        <w:rPr>
          <w:rFonts w:ascii="Arial" w:hAnsi="Arial" w:cs="Arial"/>
          <w:b/>
          <w:sz w:val="24"/>
          <w:szCs w:val="24"/>
        </w:rPr>
        <w:t>9</w:t>
      </w:r>
      <w:r w:rsidR="00C915B6" w:rsidRPr="00436CD1">
        <w:rPr>
          <w:rFonts w:ascii="Arial" w:hAnsi="Arial" w:cs="Arial"/>
          <w:b/>
          <w:sz w:val="24"/>
          <w:szCs w:val="24"/>
        </w:rPr>
        <w:t xml:space="preserve">.  For questions </w:t>
      </w:r>
      <w:r w:rsidR="005D63F4">
        <w:rPr>
          <w:rFonts w:ascii="Arial" w:hAnsi="Arial" w:cs="Arial"/>
          <w:b/>
          <w:sz w:val="24"/>
          <w:szCs w:val="24"/>
        </w:rPr>
        <w:t>58</w:t>
      </w:r>
      <w:r w:rsidR="00C915B6" w:rsidRPr="00436CD1">
        <w:rPr>
          <w:rFonts w:ascii="Arial" w:hAnsi="Arial" w:cs="Arial"/>
          <w:b/>
          <w:sz w:val="24"/>
          <w:szCs w:val="24"/>
        </w:rPr>
        <w:t xml:space="preserve"> through </w:t>
      </w:r>
      <w:r>
        <w:rPr>
          <w:rFonts w:ascii="Arial" w:hAnsi="Arial" w:cs="Arial"/>
          <w:b/>
          <w:sz w:val="24"/>
          <w:szCs w:val="24"/>
        </w:rPr>
        <w:t>80</w:t>
      </w:r>
      <w:r w:rsidR="00C915B6" w:rsidRPr="00436CD1">
        <w:rPr>
          <w:rFonts w:ascii="Arial" w:hAnsi="Arial" w:cs="Arial"/>
          <w:b/>
          <w:sz w:val="24"/>
          <w:szCs w:val="24"/>
        </w:rPr>
        <w:t>, write the correct amount on your answer sheet.</w:t>
      </w:r>
    </w:p>
    <w:p w:rsidR="00C915B6" w:rsidRDefault="00C915B6" w:rsidP="00C915B6">
      <w:pPr>
        <w:pStyle w:val="NoSpacing"/>
        <w:rPr>
          <w:rFonts w:ascii="Arial" w:hAnsi="Arial" w:cs="Arial"/>
          <w:sz w:val="24"/>
          <w:szCs w:val="24"/>
        </w:rPr>
      </w:pPr>
    </w:p>
    <w:p w:rsidR="00C915B6" w:rsidRDefault="00F050C6" w:rsidP="00C915B6">
      <w:pPr>
        <w:pStyle w:val="NoSpacing"/>
        <w:rPr>
          <w:rFonts w:ascii="Arial" w:hAnsi="Arial" w:cs="Arial"/>
          <w:sz w:val="24"/>
          <w:szCs w:val="24"/>
        </w:rPr>
      </w:pPr>
      <w:r>
        <w:rPr>
          <w:rFonts w:ascii="Arial" w:hAnsi="Arial" w:cs="Arial"/>
          <w:sz w:val="24"/>
          <w:szCs w:val="24"/>
        </w:rPr>
        <w:t>58</w:t>
      </w:r>
      <w:r w:rsidR="00C915B6">
        <w:rPr>
          <w:rFonts w:ascii="Arial" w:hAnsi="Arial" w:cs="Arial"/>
          <w:sz w:val="24"/>
          <w:szCs w:val="24"/>
        </w:rPr>
        <w:t>. What was the amount of Cash in Bank at the end of the day of October 1, 2015?</w:t>
      </w:r>
    </w:p>
    <w:p w:rsidR="00C915B6" w:rsidRDefault="00C915B6" w:rsidP="00C915B6">
      <w:pPr>
        <w:pStyle w:val="NoSpacing"/>
        <w:rPr>
          <w:rFonts w:ascii="Arial" w:hAnsi="Arial" w:cs="Arial"/>
          <w:sz w:val="24"/>
          <w:szCs w:val="24"/>
        </w:rPr>
      </w:pPr>
    </w:p>
    <w:p w:rsidR="00C915B6" w:rsidRPr="00436CD1" w:rsidRDefault="00C915B6" w:rsidP="00C915B6">
      <w:pPr>
        <w:pStyle w:val="NoSpacing"/>
        <w:jc w:val="both"/>
        <w:rPr>
          <w:rFonts w:ascii="Arial" w:hAnsi="Arial" w:cs="Arial"/>
          <w:sz w:val="24"/>
          <w:szCs w:val="24"/>
          <w:u w:val="single"/>
        </w:rPr>
      </w:pPr>
      <w:r w:rsidRPr="00436CD1">
        <w:rPr>
          <w:rFonts w:ascii="Arial" w:hAnsi="Arial" w:cs="Arial"/>
          <w:sz w:val="24"/>
          <w:szCs w:val="24"/>
          <w:u w:val="single"/>
        </w:rPr>
        <w:t>On the correctly completed worksheet for the year ending December 31, 2015 in the unadjusted trial balance, what was the amount of:</w:t>
      </w:r>
    </w:p>
    <w:p w:rsidR="00C915B6" w:rsidRDefault="00C915B6" w:rsidP="00C915B6">
      <w:pPr>
        <w:pStyle w:val="NoSpacing"/>
        <w:rPr>
          <w:rFonts w:ascii="Arial" w:hAnsi="Arial" w:cs="Arial"/>
          <w:sz w:val="24"/>
          <w:szCs w:val="24"/>
        </w:rPr>
      </w:pPr>
    </w:p>
    <w:p w:rsidR="00C915B6" w:rsidRDefault="00F050C6" w:rsidP="00F050C6">
      <w:pPr>
        <w:pStyle w:val="NoSpacing"/>
        <w:ind w:hanging="90"/>
        <w:rPr>
          <w:rFonts w:ascii="Arial" w:hAnsi="Arial" w:cs="Arial"/>
          <w:sz w:val="24"/>
          <w:szCs w:val="24"/>
        </w:rPr>
      </w:pPr>
      <w:r>
        <w:rPr>
          <w:rFonts w:ascii="Arial" w:hAnsi="Arial" w:cs="Arial"/>
          <w:sz w:val="24"/>
          <w:szCs w:val="24"/>
        </w:rPr>
        <w:t>*59</w:t>
      </w:r>
      <w:r w:rsidR="00C915B6">
        <w:rPr>
          <w:rFonts w:ascii="Arial" w:hAnsi="Arial" w:cs="Arial"/>
          <w:sz w:val="24"/>
          <w:szCs w:val="24"/>
        </w:rPr>
        <w:t>. Cash in Bank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65. Fees &amp; Commissions Earned</w:t>
      </w:r>
    </w:p>
    <w:p w:rsidR="00C915B6" w:rsidRDefault="007F0C45" w:rsidP="00C915B6">
      <w:pPr>
        <w:pStyle w:val="NoSpacing"/>
        <w:rPr>
          <w:rFonts w:ascii="Arial" w:hAnsi="Arial" w:cs="Arial"/>
          <w:sz w:val="24"/>
          <w:szCs w:val="24"/>
        </w:rPr>
      </w:pPr>
      <w:r>
        <w:rPr>
          <w:rFonts w:ascii="Arial" w:hAnsi="Arial" w:cs="Arial"/>
          <w:sz w:val="24"/>
          <w:szCs w:val="24"/>
        </w:rPr>
        <w:t>6</w:t>
      </w:r>
      <w:r w:rsidR="00F050C6">
        <w:rPr>
          <w:rFonts w:ascii="Arial" w:hAnsi="Arial" w:cs="Arial"/>
          <w:sz w:val="24"/>
          <w:szCs w:val="24"/>
        </w:rPr>
        <w:t>0</w:t>
      </w:r>
      <w:r w:rsidR="00C915B6">
        <w:rPr>
          <w:rFonts w:ascii="Arial" w:hAnsi="Arial" w:cs="Arial"/>
          <w:sz w:val="24"/>
          <w:szCs w:val="24"/>
        </w:rPr>
        <w:t>. Accounts Receivable</w:t>
      </w:r>
      <w:r w:rsidR="00F050C6">
        <w:rPr>
          <w:rFonts w:ascii="Arial" w:hAnsi="Arial" w:cs="Arial"/>
          <w:sz w:val="24"/>
          <w:szCs w:val="24"/>
        </w:rPr>
        <w:tab/>
      </w:r>
      <w:r w:rsidR="00F050C6">
        <w:rPr>
          <w:rFonts w:ascii="Arial" w:hAnsi="Arial" w:cs="Arial"/>
          <w:sz w:val="24"/>
          <w:szCs w:val="24"/>
        </w:rPr>
        <w:tab/>
        <w:t>66. Rent Expense</w:t>
      </w:r>
    </w:p>
    <w:p w:rsidR="00C915B6" w:rsidRDefault="007F0C45" w:rsidP="00C915B6">
      <w:pPr>
        <w:pStyle w:val="NoSpacing"/>
        <w:rPr>
          <w:rFonts w:ascii="Arial" w:hAnsi="Arial" w:cs="Arial"/>
          <w:sz w:val="24"/>
          <w:szCs w:val="24"/>
        </w:rPr>
      </w:pPr>
      <w:r>
        <w:rPr>
          <w:rFonts w:ascii="Arial" w:hAnsi="Arial" w:cs="Arial"/>
          <w:sz w:val="24"/>
          <w:szCs w:val="24"/>
        </w:rPr>
        <w:t>6</w:t>
      </w:r>
      <w:r w:rsidR="00F050C6">
        <w:rPr>
          <w:rFonts w:ascii="Arial" w:hAnsi="Arial" w:cs="Arial"/>
          <w:sz w:val="24"/>
          <w:szCs w:val="24"/>
        </w:rPr>
        <w:t>1</w:t>
      </w:r>
      <w:r w:rsidR="00C915B6">
        <w:rPr>
          <w:rFonts w:ascii="Arial" w:hAnsi="Arial" w:cs="Arial"/>
          <w:sz w:val="24"/>
          <w:szCs w:val="24"/>
        </w:rPr>
        <w:t>. Prepaid Insurance</w:t>
      </w:r>
      <w:r w:rsidR="00F050C6">
        <w:rPr>
          <w:rFonts w:ascii="Arial" w:hAnsi="Arial" w:cs="Arial"/>
          <w:sz w:val="24"/>
          <w:szCs w:val="24"/>
        </w:rPr>
        <w:tab/>
      </w:r>
      <w:r w:rsidR="00F050C6">
        <w:rPr>
          <w:rFonts w:ascii="Arial" w:hAnsi="Arial" w:cs="Arial"/>
          <w:sz w:val="24"/>
          <w:szCs w:val="24"/>
        </w:rPr>
        <w:tab/>
      </w:r>
      <w:r w:rsidR="00F050C6">
        <w:rPr>
          <w:rFonts w:ascii="Arial" w:hAnsi="Arial" w:cs="Arial"/>
          <w:sz w:val="24"/>
          <w:szCs w:val="24"/>
        </w:rPr>
        <w:tab/>
        <w:t>67. Accumulated Depreciation</w:t>
      </w:r>
    </w:p>
    <w:p w:rsidR="00C915B6" w:rsidRDefault="007F0C45" w:rsidP="00C915B6">
      <w:pPr>
        <w:pStyle w:val="NoSpacing"/>
        <w:rPr>
          <w:rFonts w:ascii="Arial" w:hAnsi="Arial" w:cs="Arial"/>
          <w:sz w:val="24"/>
          <w:szCs w:val="24"/>
        </w:rPr>
      </w:pPr>
      <w:r>
        <w:rPr>
          <w:rFonts w:ascii="Arial" w:hAnsi="Arial" w:cs="Arial"/>
          <w:sz w:val="24"/>
          <w:szCs w:val="24"/>
        </w:rPr>
        <w:t>6</w:t>
      </w:r>
      <w:r w:rsidR="00F050C6">
        <w:rPr>
          <w:rFonts w:ascii="Arial" w:hAnsi="Arial" w:cs="Arial"/>
          <w:sz w:val="24"/>
          <w:szCs w:val="24"/>
        </w:rPr>
        <w:t>2</w:t>
      </w:r>
      <w:r w:rsidR="00C915B6">
        <w:rPr>
          <w:rFonts w:ascii="Arial" w:hAnsi="Arial" w:cs="Arial"/>
          <w:sz w:val="24"/>
          <w:szCs w:val="24"/>
        </w:rPr>
        <w:t>. Office Supplies</w:t>
      </w:r>
      <w:r w:rsidR="00F050C6">
        <w:rPr>
          <w:rFonts w:ascii="Arial" w:hAnsi="Arial" w:cs="Arial"/>
          <w:sz w:val="24"/>
          <w:szCs w:val="24"/>
        </w:rPr>
        <w:tab/>
      </w:r>
      <w:r w:rsidR="00F050C6">
        <w:rPr>
          <w:rFonts w:ascii="Arial" w:hAnsi="Arial" w:cs="Arial"/>
          <w:sz w:val="24"/>
          <w:szCs w:val="24"/>
        </w:rPr>
        <w:tab/>
      </w:r>
      <w:r w:rsidR="00F050C6">
        <w:rPr>
          <w:rFonts w:ascii="Arial" w:hAnsi="Arial" w:cs="Arial"/>
          <w:sz w:val="24"/>
          <w:szCs w:val="24"/>
        </w:rPr>
        <w:tab/>
      </w:r>
      <w:r w:rsidR="00F050C6">
        <w:rPr>
          <w:rFonts w:ascii="Arial" w:hAnsi="Arial" w:cs="Arial"/>
          <w:sz w:val="24"/>
          <w:szCs w:val="24"/>
        </w:rPr>
        <w:tab/>
        <w:t>68. Office Furniture</w:t>
      </w:r>
    </w:p>
    <w:p w:rsidR="00C915B6" w:rsidRDefault="00C915B6" w:rsidP="00C915B6">
      <w:pPr>
        <w:pStyle w:val="NoSpacing"/>
        <w:rPr>
          <w:rFonts w:ascii="Arial" w:hAnsi="Arial" w:cs="Arial"/>
          <w:sz w:val="24"/>
          <w:szCs w:val="24"/>
        </w:rPr>
      </w:pPr>
      <w:r>
        <w:rPr>
          <w:rFonts w:ascii="Arial" w:hAnsi="Arial" w:cs="Arial"/>
          <w:sz w:val="24"/>
          <w:szCs w:val="24"/>
        </w:rPr>
        <w:t>6</w:t>
      </w:r>
      <w:r w:rsidR="00F050C6">
        <w:rPr>
          <w:rFonts w:ascii="Arial" w:hAnsi="Arial" w:cs="Arial"/>
          <w:sz w:val="24"/>
          <w:szCs w:val="24"/>
        </w:rPr>
        <w:t>3</w:t>
      </w:r>
      <w:r>
        <w:rPr>
          <w:rFonts w:ascii="Arial" w:hAnsi="Arial" w:cs="Arial"/>
          <w:sz w:val="24"/>
          <w:szCs w:val="24"/>
        </w:rPr>
        <w:t>. Accounts Payable</w:t>
      </w:r>
      <w:r w:rsidR="004C7857">
        <w:rPr>
          <w:rFonts w:ascii="Arial" w:hAnsi="Arial" w:cs="Arial"/>
          <w:sz w:val="24"/>
          <w:szCs w:val="24"/>
        </w:rPr>
        <w:tab/>
      </w:r>
      <w:r w:rsidR="004C7857">
        <w:rPr>
          <w:rFonts w:ascii="Arial" w:hAnsi="Arial" w:cs="Arial"/>
          <w:sz w:val="24"/>
          <w:szCs w:val="24"/>
        </w:rPr>
        <w:tab/>
        <w:t xml:space="preserve">     *</w:t>
      </w:r>
      <w:r w:rsidR="00F050C6">
        <w:rPr>
          <w:rFonts w:ascii="Arial" w:hAnsi="Arial" w:cs="Arial"/>
          <w:sz w:val="24"/>
          <w:szCs w:val="24"/>
        </w:rPr>
        <w:t>69. Unearned Revenue</w:t>
      </w:r>
    </w:p>
    <w:p w:rsidR="00C915B6" w:rsidRDefault="007F0C45" w:rsidP="00C915B6">
      <w:pPr>
        <w:pStyle w:val="NoSpacing"/>
        <w:rPr>
          <w:rFonts w:ascii="Arial" w:hAnsi="Arial" w:cs="Arial"/>
          <w:sz w:val="24"/>
          <w:szCs w:val="24"/>
        </w:rPr>
      </w:pPr>
      <w:r>
        <w:rPr>
          <w:rFonts w:ascii="Arial" w:hAnsi="Arial" w:cs="Arial"/>
          <w:sz w:val="24"/>
          <w:szCs w:val="24"/>
        </w:rPr>
        <w:t>6</w:t>
      </w:r>
      <w:r w:rsidR="00F050C6">
        <w:rPr>
          <w:rFonts w:ascii="Arial" w:hAnsi="Arial" w:cs="Arial"/>
          <w:sz w:val="24"/>
          <w:szCs w:val="24"/>
        </w:rPr>
        <w:t>4</w:t>
      </w:r>
      <w:r w:rsidR="00C915B6">
        <w:rPr>
          <w:rFonts w:ascii="Arial" w:hAnsi="Arial" w:cs="Arial"/>
          <w:sz w:val="24"/>
          <w:szCs w:val="24"/>
        </w:rPr>
        <w:t>. Common Stock</w:t>
      </w:r>
    </w:p>
    <w:p w:rsidR="00C915B6" w:rsidRDefault="00C915B6" w:rsidP="00C915B6">
      <w:pPr>
        <w:pStyle w:val="NoSpacing"/>
        <w:rPr>
          <w:rFonts w:ascii="Arial" w:hAnsi="Arial" w:cs="Arial"/>
          <w:sz w:val="24"/>
          <w:szCs w:val="24"/>
        </w:rPr>
      </w:pPr>
    </w:p>
    <w:p w:rsidR="00C915B6" w:rsidRPr="00436CD1" w:rsidRDefault="00C915B6" w:rsidP="00C915B6">
      <w:pPr>
        <w:pStyle w:val="NoSpacing"/>
        <w:jc w:val="both"/>
        <w:rPr>
          <w:rFonts w:ascii="Arial" w:hAnsi="Arial" w:cs="Arial"/>
          <w:sz w:val="24"/>
          <w:szCs w:val="24"/>
          <w:u w:val="single"/>
        </w:rPr>
      </w:pPr>
      <w:r w:rsidRPr="00436CD1">
        <w:rPr>
          <w:rFonts w:ascii="Arial" w:hAnsi="Arial" w:cs="Arial"/>
          <w:sz w:val="24"/>
          <w:szCs w:val="24"/>
          <w:u w:val="single"/>
        </w:rPr>
        <w:t>On the correctly completed worksheet for the year ending December 31, 2015 in the adjusted trial balance, what was the amount of:</w:t>
      </w:r>
    </w:p>
    <w:p w:rsidR="00C915B6" w:rsidRDefault="00C915B6" w:rsidP="00C915B6">
      <w:pPr>
        <w:pStyle w:val="NoSpacing"/>
        <w:rPr>
          <w:rFonts w:ascii="Arial" w:hAnsi="Arial" w:cs="Arial"/>
          <w:sz w:val="24"/>
          <w:szCs w:val="24"/>
        </w:rPr>
      </w:pPr>
    </w:p>
    <w:p w:rsidR="00C915B6" w:rsidRDefault="007F0C45" w:rsidP="00C915B6">
      <w:pPr>
        <w:pStyle w:val="NoSpacing"/>
        <w:rPr>
          <w:rFonts w:ascii="Arial" w:hAnsi="Arial" w:cs="Arial"/>
          <w:sz w:val="24"/>
          <w:szCs w:val="24"/>
        </w:rPr>
      </w:pPr>
      <w:r>
        <w:rPr>
          <w:rFonts w:ascii="Arial" w:hAnsi="Arial" w:cs="Arial"/>
          <w:sz w:val="24"/>
          <w:szCs w:val="24"/>
        </w:rPr>
        <w:t>70</w:t>
      </w:r>
      <w:r w:rsidR="00C915B6">
        <w:rPr>
          <w:rFonts w:ascii="Arial" w:hAnsi="Arial" w:cs="Arial"/>
          <w:sz w:val="24"/>
          <w:szCs w:val="24"/>
        </w:rPr>
        <w:t>. Prepaid Insurance</w:t>
      </w:r>
    </w:p>
    <w:p w:rsidR="00C915B6" w:rsidRDefault="004C7857" w:rsidP="004C7857">
      <w:pPr>
        <w:pStyle w:val="NoSpacing"/>
        <w:ind w:hanging="90"/>
        <w:rPr>
          <w:rFonts w:ascii="Arial" w:hAnsi="Arial" w:cs="Arial"/>
          <w:sz w:val="24"/>
          <w:szCs w:val="24"/>
        </w:rPr>
      </w:pPr>
      <w:r>
        <w:rPr>
          <w:rFonts w:ascii="Arial" w:hAnsi="Arial" w:cs="Arial"/>
          <w:sz w:val="24"/>
          <w:szCs w:val="24"/>
        </w:rPr>
        <w:t>*</w:t>
      </w:r>
      <w:r w:rsidR="007F0C45">
        <w:rPr>
          <w:rFonts w:ascii="Arial" w:hAnsi="Arial" w:cs="Arial"/>
          <w:sz w:val="24"/>
          <w:szCs w:val="24"/>
        </w:rPr>
        <w:t>71</w:t>
      </w:r>
      <w:r w:rsidR="00C915B6">
        <w:rPr>
          <w:rFonts w:ascii="Arial" w:hAnsi="Arial" w:cs="Arial"/>
          <w:sz w:val="24"/>
          <w:szCs w:val="24"/>
        </w:rPr>
        <w:t>. Accumulated Depreciation</w:t>
      </w:r>
    </w:p>
    <w:p w:rsidR="00C915B6" w:rsidRDefault="007F0C45" w:rsidP="00C915B6">
      <w:pPr>
        <w:pStyle w:val="NoSpacing"/>
        <w:rPr>
          <w:rFonts w:ascii="Arial" w:hAnsi="Arial" w:cs="Arial"/>
          <w:sz w:val="24"/>
          <w:szCs w:val="24"/>
        </w:rPr>
      </w:pPr>
      <w:r>
        <w:rPr>
          <w:rFonts w:ascii="Arial" w:hAnsi="Arial" w:cs="Arial"/>
          <w:sz w:val="24"/>
          <w:szCs w:val="24"/>
        </w:rPr>
        <w:t>72</w:t>
      </w:r>
      <w:r w:rsidR="00C915B6">
        <w:rPr>
          <w:rFonts w:ascii="Arial" w:hAnsi="Arial" w:cs="Arial"/>
          <w:sz w:val="24"/>
          <w:szCs w:val="24"/>
        </w:rPr>
        <w:t>. Interest Payable</w:t>
      </w:r>
    </w:p>
    <w:p w:rsidR="00C915B6" w:rsidRDefault="007F0C45" w:rsidP="00C915B6">
      <w:pPr>
        <w:pStyle w:val="NoSpacing"/>
        <w:rPr>
          <w:rFonts w:ascii="Arial" w:hAnsi="Arial" w:cs="Arial"/>
          <w:sz w:val="24"/>
          <w:szCs w:val="24"/>
        </w:rPr>
      </w:pPr>
      <w:r>
        <w:rPr>
          <w:rFonts w:ascii="Arial" w:hAnsi="Arial" w:cs="Arial"/>
          <w:sz w:val="24"/>
          <w:szCs w:val="24"/>
        </w:rPr>
        <w:t>73</w:t>
      </w:r>
      <w:r w:rsidR="00C915B6">
        <w:rPr>
          <w:rFonts w:ascii="Arial" w:hAnsi="Arial" w:cs="Arial"/>
          <w:sz w:val="24"/>
          <w:szCs w:val="24"/>
        </w:rPr>
        <w:t>. Retained Earnings</w:t>
      </w:r>
    </w:p>
    <w:p w:rsidR="00C915B6" w:rsidRDefault="007F0C45" w:rsidP="00C915B6">
      <w:pPr>
        <w:pStyle w:val="NoSpacing"/>
        <w:rPr>
          <w:rFonts w:ascii="Arial" w:hAnsi="Arial" w:cs="Arial"/>
          <w:sz w:val="24"/>
          <w:szCs w:val="24"/>
        </w:rPr>
      </w:pPr>
      <w:r>
        <w:rPr>
          <w:rFonts w:ascii="Arial" w:hAnsi="Arial" w:cs="Arial"/>
          <w:sz w:val="24"/>
          <w:szCs w:val="24"/>
        </w:rPr>
        <w:t>74</w:t>
      </w:r>
      <w:r w:rsidR="00C915B6">
        <w:rPr>
          <w:rFonts w:ascii="Arial" w:hAnsi="Arial" w:cs="Arial"/>
          <w:sz w:val="24"/>
          <w:szCs w:val="24"/>
        </w:rPr>
        <w:t>. Fees &amp; Commissions Earned</w:t>
      </w:r>
    </w:p>
    <w:p w:rsidR="00C915B6" w:rsidRDefault="007F0C45" w:rsidP="00C915B6">
      <w:pPr>
        <w:pStyle w:val="NoSpacing"/>
        <w:rPr>
          <w:rFonts w:ascii="Arial" w:hAnsi="Arial" w:cs="Arial"/>
          <w:sz w:val="24"/>
          <w:szCs w:val="24"/>
        </w:rPr>
      </w:pPr>
      <w:r>
        <w:rPr>
          <w:rFonts w:ascii="Arial" w:hAnsi="Arial" w:cs="Arial"/>
          <w:sz w:val="24"/>
          <w:szCs w:val="24"/>
        </w:rPr>
        <w:t>75</w:t>
      </w:r>
      <w:r w:rsidR="00C915B6">
        <w:rPr>
          <w:rFonts w:ascii="Arial" w:hAnsi="Arial" w:cs="Arial"/>
          <w:sz w:val="24"/>
          <w:szCs w:val="24"/>
        </w:rPr>
        <w:t>. Office Supplies Expense</w:t>
      </w:r>
    </w:p>
    <w:p w:rsidR="00C915B6" w:rsidRDefault="00C915B6" w:rsidP="00C915B6">
      <w:pPr>
        <w:pStyle w:val="NoSpacing"/>
        <w:rPr>
          <w:rFonts w:ascii="Arial" w:hAnsi="Arial" w:cs="Arial"/>
          <w:sz w:val="24"/>
          <w:szCs w:val="24"/>
        </w:rPr>
      </w:pPr>
    </w:p>
    <w:p w:rsidR="00F050C6" w:rsidRDefault="00F050C6" w:rsidP="00C915B6">
      <w:pPr>
        <w:pStyle w:val="NoSpacing"/>
        <w:rPr>
          <w:rFonts w:ascii="Arial" w:hAnsi="Arial" w:cs="Arial"/>
          <w:sz w:val="24"/>
          <w:szCs w:val="24"/>
        </w:rPr>
      </w:pPr>
      <w:r>
        <w:rPr>
          <w:rFonts w:ascii="Arial" w:hAnsi="Arial" w:cs="Arial"/>
          <w:sz w:val="24"/>
          <w:szCs w:val="24"/>
        </w:rPr>
        <w:t xml:space="preserve">Money Matters, Inc. prepared a financial statement called “Statement of Stockholders’ Equity” for the year ended December 31, 2015.  </w:t>
      </w:r>
      <w:r w:rsidRPr="00F050C6">
        <w:rPr>
          <w:rFonts w:ascii="Arial" w:hAnsi="Arial" w:cs="Arial"/>
          <w:sz w:val="24"/>
          <w:szCs w:val="24"/>
          <w:u w:val="single"/>
        </w:rPr>
        <w:t>On this statement, what is the correct amount of</w:t>
      </w:r>
      <w:r>
        <w:rPr>
          <w:rFonts w:ascii="Arial" w:hAnsi="Arial" w:cs="Arial"/>
          <w:sz w:val="24"/>
          <w:szCs w:val="24"/>
        </w:rPr>
        <w:t>:</w:t>
      </w:r>
    </w:p>
    <w:p w:rsidR="00F050C6" w:rsidRDefault="00F050C6" w:rsidP="00C915B6">
      <w:pPr>
        <w:pStyle w:val="NoSpacing"/>
        <w:rPr>
          <w:rFonts w:ascii="Arial" w:hAnsi="Arial" w:cs="Arial"/>
          <w:sz w:val="24"/>
          <w:szCs w:val="24"/>
        </w:rPr>
      </w:pPr>
    </w:p>
    <w:p w:rsidR="00C915B6" w:rsidRDefault="00EC3D99" w:rsidP="00EC3D99">
      <w:pPr>
        <w:pStyle w:val="NoSpacing"/>
        <w:ind w:hanging="90"/>
        <w:rPr>
          <w:rFonts w:ascii="Arial" w:hAnsi="Arial" w:cs="Arial"/>
          <w:sz w:val="24"/>
          <w:szCs w:val="24"/>
        </w:rPr>
      </w:pPr>
      <w:r>
        <w:rPr>
          <w:rFonts w:ascii="Arial" w:hAnsi="Arial" w:cs="Arial"/>
          <w:sz w:val="24"/>
          <w:szCs w:val="24"/>
        </w:rPr>
        <w:t>*</w:t>
      </w:r>
      <w:r w:rsidR="007F0C45">
        <w:rPr>
          <w:rFonts w:ascii="Arial" w:hAnsi="Arial" w:cs="Arial"/>
          <w:sz w:val="24"/>
          <w:szCs w:val="24"/>
        </w:rPr>
        <w:t>76</w:t>
      </w:r>
      <w:r w:rsidR="00C915B6">
        <w:rPr>
          <w:rFonts w:ascii="Arial" w:hAnsi="Arial" w:cs="Arial"/>
          <w:sz w:val="24"/>
          <w:szCs w:val="24"/>
        </w:rPr>
        <w:t xml:space="preserve">. </w:t>
      </w:r>
      <w:r w:rsidR="00F050C6">
        <w:rPr>
          <w:rFonts w:ascii="Arial" w:hAnsi="Arial" w:cs="Arial"/>
          <w:sz w:val="24"/>
          <w:szCs w:val="24"/>
        </w:rPr>
        <w:t>Net Income</w:t>
      </w:r>
    </w:p>
    <w:p w:rsidR="00C915B6" w:rsidRDefault="00EC3D99" w:rsidP="00EC3D99">
      <w:pPr>
        <w:pStyle w:val="NoSpacing"/>
        <w:ind w:hanging="90"/>
        <w:rPr>
          <w:rFonts w:ascii="Arial" w:hAnsi="Arial" w:cs="Arial"/>
          <w:sz w:val="24"/>
          <w:szCs w:val="24"/>
        </w:rPr>
      </w:pPr>
      <w:r>
        <w:rPr>
          <w:rFonts w:ascii="Arial" w:hAnsi="Arial" w:cs="Arial"/>
          <w:sz w:val="24"/>
          <w:szCs w:val="24"/>
        </w:rPr>
        <w:t>*</w:t>
      </w:r>
      <w:r w:rsidR="007F0C45">
        <w:rPr>
          <w:rFonts w:ascii="Arial" w:hAnsi="Arial" w:cs="Arial"/>
          <w:sz w:val="24"/>
          <w:szCs w:val="24"/>
        </w:rPr>
        <w:t>77</w:t>
      </w:r>
      <w:r w:rsidR="00C915B6">
        <w:rPr>
          <w:rFonts w:ascii="Arial" w:hAnsi="Arial" w:cs="Arial"/>
          <w:sz w:val="24"/>
          <w:szCs w:val="24"/>
        </w:rPr>
        <w:t xml:space="preserve">. </w:t>
      </w:r>
      <w:r w:rsidR="00F050C6">
        <w:rPr>
          <w:rFonts w:ascii="Arial" w:hAnsi="Arial" w:cs="Arial"/>
          <w:sz w:val="24"/>
          <w:szCs w:val="24"/>
        </w:rPr>
        <w:t>Cash Dividends</w:t>
      </w:r>
    </w:p>
    <w:p w:rsidR="00C915B6" w:rsidRDefault="00EC3D99" w:rsidP="00EC3D99">
      <w:pPr>
        <w:pStyle w:val="NoSpacing"/>
        <w:ind w:hanging="90"/>
        <w:rPr>
          <w:rFonts w:ascii="Arial" w:hAnsi="Arial" w:cs="Arial"/>
          <w:sz w:val="24"/>
          <w:szCs w:val="24"/>
        </w:rPr>
      </w:pPr>
      <w:r>
        <w:rPr>
          <w:rFonts w:ascii="Arial" w:hAnsi="Arial" w:cs="Arial"/>
          <w:sz w:val="24"/>
          <w:szCs w:val="24"/>
        </w:rPr>
        <w:t>*</w:t>
      </w:r>
      <w:r w:rsidR="007F0C45">
        <w:rPr>
          <w:rFonts w:ascii="Arial" w:hAnsi="Arial" w:cs="Arial"/>
          <w:sz w:val="24"/>
          <w:szCs w:val="24"/>
        </w:rPr>
        <w:t>78</w:t>
      </w:r>
      <w:r w:rsidR="00C915B6">
        <w:rPr>
          <w:rFonts w:ascii="Arial" w:hAnsi="Arial" w:cs="Arial"/>
          <w:sz w:val="24"/>
          <w:szCs w:val="24"/>
        </w:rPr>
        <w:t xml:space="preserve">. </w:t>
      </w:r>
      <w:r w:rsidR="00F050C6">
        <w:rPr>
          <w:rFonts w:ascii="Arial" w:hAnsi="Arial" w:cs="Arial"/>
          <w:sz w:val="24"/>
          <w:szCs w:val="24"/>
        </w:rPr>
        <w:t>Total Stockholders’ Equity as of December 31, 2015</w:t>
      </w:r>
    </w:p>
    <w:p w:rsidR="00C915B6" w:rsidRDefault="00C915B6" w:rsidP="00C915B6">
      <w:pPr>
        <w:pStyle w:val="NoSpacing"/>
        <w:rPr>
          <w:rFonts w:ascii="Arial" w:hAnsi="Arial" w:cs="Arial"/>
          <w:sz w:val="24"/>
          <w:szCs w:val="24"/>
        </w:rPr>
      </w:pPr>
    </w:p>
    <w:p w:rsidR="00C915B6" w:rsidRPr="00436CD1" w:rsidRDefault="00C915B6" w:rsidP="00C915B6">
      <w:pPr>
        <w:pStyle w:val="NoSpacing"/>
        <w:jc w:val="both"/>
        <w:rPr>
          <w:rFonts w:ascii="Arial" w:hAnsi="Arial" w:cs="Arial"/>
          <w:sz w:val="24"/>
          <w:szCs w:val="24"/>
          <w:u w:val="single"/>
        </w:rPr>
      </w:pPr>
      <w:r>
        <w:rPr>
          <w:rFonts w:ascii="Arial" w:hAnsi="Arial" w:cs="Arial"/>
          <w:sz w:val="24"/>
          <w:szCs w:val="24"/>
          <w:u w:val="single"/>
        </w:rPr>
        <w:t>On</w:t>
      </w:r>
      <w:r w:rsidRPr="00436CD1">
        <w:rPr>
          <w:rFonts w:ascii="Arial" w:hAnsi="Arial" w:cs="Arial"/>
          <w:sz w:val="24"/>
          <w:szCs w:val="24"/>
          <w:u w:val="single"/>
        </w:rPr>
        <w:t xml:space="preserve"> January</w:t>
      </w:r>
      <w:r w:rsidR="00E5754F">
        <w:rPr>
          <w:rFonts w:ascii="Arial" w:hAnsi="Arial" w:cs="Arial"/>
          <w:sz w:val="24"/>
          <w:szCs w:val="24"/>
          <w:u w:val="single"/>
        </w:rPr>
        <w:t xml:space="preserve"> </w:t>
      </w:r>
      <w:r>
        <w:rPr>
          <w:rFonts w:ascii="Arial" w:hAnsi="Arial" w:cs="Arial"/>
          <w:sz w:val="24"/>
          <w:szCs w:val="24"/>
          <w:u w:val="single"/>
        </w:rPr>
        <w:t>20,</w:t>
      </w:r>
      <w:r w:rsidRPr="00436CD1">
        <w:rPr>
          <w:rFonts w:ascii="Arial" w:hAnsi="Arial" w:cs="Arial"/>
          <w:sz w:val="24"/>
          <w:szCs w:val="24"/>
          <w:u w:val="single"/>
        </w:rPr>
        <w:t xml:space="preserve"> 2016 after reviewing the financial statements</w:t>
      </w:r>
      <w:r>
        <w:rPr>
          <w:rFonts w:ascii="Arial" w:hAnsi="Arial" w:cs="Arial"/>
          <w:sz w:val="24"/>
          <w:szCs w:val="24"/>
          <w:u w:val="single"/>
        </w:rPr>
        <w:t xml:space="preserve"> for 2015</w:t>
      </w:r>
      <w:r w:rsidRPr="00436CD1">
        <w:rPr>
          <w:rFonts w:ascii="Arial" w:hAnsi="Arial" w:cs="Arial"/>
          <w:sz w:val="24"/>
          <w:szCs w:val="24"/>
          <w:u w:val="single"/>
        </w:rPr>
        <w:t xml:space="preserve"> and coming to a consensus, Gary and Larry agreed to </w:t>
      </w:r>
      <w:r w:rsidR="00F050C6">
        <w:rPr>
          <w:rFonts w:ascii="Arial" w:hAnsi="Arial" w:cs="Arial"/>
          <w:sz w:val="24"/>
          <w:szCs w:val="24"/>
          <w:u w:val="single"/>
        </w:rPr>
        <w:t>declare</w:t>
      </w:r>
      <w:r w:rsidRPr="00436CD1">
        <w:rPr>
          <w:rFonts w:ascii="Arial" w:hAnsi="Arial" w:cs="Arial"/>
          <w:sz w:val="24"/>
          <w:szCs w:val="24"/>
          <w:u w:val="single"/>
        </w:rPr>
        <w:t xml:space="preserve"> a </w:t>
      </w:r>
      <w:r w:rsidR="00F050C6">
        <w:rPr>
          <w:rFonts w:ascii="Arial" w:hAnsi="Arial" w:cs="Arial"/>
          <w:sz w:val="24"/>
          <w:szCs w:val="24"/>
          <w:u w:val="single"/>
        </w:rPr>
        <w:t xml:space="preserve">2016 </w:t>
      </w:r>
      <w:r w:rsidRPr="00436CD1">
        <w:rPr>
          <w:rFonts w:ascii="Arial" w:hAnsi="Arial" w:cs="Arial"/>
          <w:sz w:val="24"/>
          <w:szCs w:val="24"/>
          <w:u w:val="single"/>
        </w:rPr>
        <w:t xml:space="preserve">cash dividend based on their proportionate shares of stock </w:t>
      </w:r>
      <w:r>
        <w:rPr>
          <w:rFonts w:ascii="Arial" w:hAnsi="Arial" w:cs="Arial"/>
          <w:sz w:val="24"/>
          <w:szCs w:val="24"/>
          <w:u w:val="single"/>
        </w:rPr>
        <w:t xml:space="preserve">owned </w:t>
      </w:r>
      <w:r w:rsidRPr="00436CD1">
        <w:rPr>
          <w:rFonts w:ascii="Arial" w:hAnsi="Arial" w:cs="Arial"/>
          <w:sz w:val="24"/>
          <w:szCs w:val="24"/>
          <w:u w:val="single"/>
        </w:rPr>
        <w:t>as follows:</w:t>
      </w:r>
    </w:p>
    <w:p w:rsidR="00C915B6" w:rsidRDefault="00C915B6" w:rsidP="00C915B6">
      <w:pPr>
        <w:pStyle w:val="NoSpacing"/>
        <w:rPr>
          <w:rFonts w:ascii="Arial" w:hAnsi="Arial" w:cs="Arial"/>
          <w:sz w:val="24"/>
          <w:szCs w:val="24"/>
        </w:rPr>
      </w:pPr>
    </w:p>
    <w:p w:rsidR="00C915B6" w:rsidRDefault="00EC3D99" w:rsidP="00EC3D99">
      <w:pPr>
        <w:pStyle w:val="NoSpacing"/>
        <w:ind w:hanging="90"/>
        <w:rPr>
          <w:rFonts w:ascii="Arial" w:hAnsi="Arial" w:cs="Arial"/>
          <w:sz w:val="24"/>
          <w:szCs w:val="24"/>
        </w:rPr>
      </w:pPr>
      <w:r>
        <w:rPr>
          <w:rFonts w:ascii="Arial" w:hAnsi="Arial" w:cs="Arial"/>
          <w:sz w:val="24"/>
          <w:szCs w:val="24"/>
        </w:rPr>
        <w:t>*</w:t>
      </w:r>
      <w:r w:rsidR="007F0C45">
        <w:rPr>
          <w:rFonts w:ascii="Arial" w:hAnsi="Arial" w:cs="Arial"/>
          <w:sz w:val="24"/>
          <w:szCs w:val="24"/>
        </w:rPr>
        <w:t>79</w:t>
      </w:r>
      <w:r w:rsidR="00C915B6">
        <w:rPr>
          <w:rFonts w:ascii="Arial" w:hAnsi="Arial" w:cs="Arial"/>
          <w:sz w:val="24"/>
          <w:szCs w:val="24"/>
        </w:rPr>
        <w:t>. The amount Gary will receive is __</w:t>
      </w:r>
      <w:r w:rsidR="00C915B6" w:rsidRPr="00436CD1">
        <w:rPr>
          <w:rFonts w:ascii="Arial" w:hAnsi="Arial" w:cs="Arial"/>
          <w:sz w:val="24"/>
          <w:szCs w:val="24"/>
          <w:u w:val="single"/>
        </w:rPr>
        <w:t>?</w:t>
      </w:r>
      <w:r w:rsidR="00C915B6">
        <w:rPr>
          <w:rFonts w:ascii="Arial" w:hAnsi="Arial" w:cs="Arial"/>
          <w:sz w:val="24"/>
          <w:szCs w:val="24"/>
        </w:rPr>
        <w:t>__.</w:t>
      </w:r>
    </w:p>
    <w:p w:rsidR="00C915B6" w:rsidRDefault="00EC3D99" w:rsidP="00EC3D99">
      <w:pPr>
        <w:pStyle w:val="NoSpacing"/>
        <w:ind w:hanging="90"/>
        <w:rPr>
          <w:rFonts w:ascii="Arial" w:hAnsi="Arial" w:cs="Arial"/>
          <w:sz w:val="24"/>
          <w:szCs w:val="24"/>
        </w:rPr>
      </w:pPr>
      <w:r>
        <w:rPr>
          <w:rFonts w:ascii="Arial" w:hAnsi="Arial" w:cs="Arial"/>
          <w:sz w:val="24"/>
          <w:szCs w:val="24"/>
        </w:rPr>
        <w:t>*</w:t>
      </w:r>
      <w:r w:rsidR="007F0C45">
        <w:rPr>
          <w:rFonts w:ascii="Arial" w:hAnsi="Arial" w:cs="Arial"/>
          <w:sz w:val="24"/>
          <w:szCs w:val="24"/>
        </w:rPr>
        <w:t>80</w:t>
      </w:r>
      <w:r w:rsidR="00C915B6">
        <w:rPr>
          <w:rFonts w:ascii="Arial" w:hAnsi="Arial" w:cs="Arial"/>
          <w:sz w:val="24"/>
          <w:szCs w:val="24"/>
        </w:rPr>
        <w:t>. The amount Larry will receive is __</w:t>
      </w:r>
      <w:r w:rsidR="00C915B6" w:rsidRPr="00436CD1">
        <w:rPr>
          <w:rFonts w:ascii="Arial" w:hAnsi="Arial" w:cs="Arial"/>
          <w:sz w:val="24"/>
          <w:szCs w:val="24"/>
          <w:u w:val="single"/>
        </w:rPr>
        <w:t>?</w:t>
      </w:r>
      <w:r w:rsidR="00C915B6">
        <w:rPr>
          <w:rFonts w:ascii="Arial" w:hAnsi="Arial" w:cs="Arial"/>
          <w:sz w:val="24"/>
          <w:szCs w:val="24"/>
        </w:rPr>
        <w:t>__.</w:t>
      </w:r>
    </w:p>
    <w:p w:rsidR="00C915B6" w:rsidRDefault="00C915B6" w:rsidP="00C915B6">
      <w:pPr>
        <w:pStyle w:val="NoSpacing"/>
        <w:rPr>
          <w:rFonts w:ascii="Arial" w:hAnsi="Arial" w:cs="Arial"/>
          <w:sz w:val="24"/>
          <w:szCs w:val="24"/>
        </w:rPr>
      </w:pPr>
    </w:p>
    <w:p w:rsidR="00C915B6" w:rsidRDefault="00C915B6" w:rsidP="00C915B6">
      <w:pPr>
        <w:pStyle w:val="NoSpacing"/>
        <w:rPr>
          <w:rFonts w:ascii="Arial" w:hAnsi="Arial" w:cs="Arial"/>
          <w:sz w:val="24"/>
          <w:szCs w:val="24"/>
        </w:rPr>
      </w:pPr>
    </w:p>
    <w:p w:rsidR="00C915B6" w:rsidRDefault="00C915B6" w:rsidP="00C915B6">
      <w:pPr>
        <w:pStyle w:val="NoSpacing"/>
        <w:rPr>
          <w:rFonts w:ascii="Arial" w:hAnsi="Arial" w:cs="Arial"/>
          <w:sz w:val="24"/>
          <w:szCs w:val="24"/>
        </w:rPr>
      </w:pPr>
    </w:p>
    <w:p w:rsidR="00C915B6" w:rsidRPr="00436CD1" w:rsidRDefault="00C915B6" w:rsidP="00C915B6">
      <w:pPr>
        <w:pStyle w:val="NoSpacing"/>
        <w:jc w:val="both"/>
        <w:rPr>
          <w:rFonts w:ascii="Arial" w:hAnsi="Arial" w:cs="Arial"/>
          <w:b/>
          <w:sz w:val="24"/>
          <w:szCs w:val="24"/>
        </w:rPr>
      </w:pPr>
      <w:r w:rsidRPr="00436CD1">
        <w:rPr>
          <w:rFonts w:ascii="Arial" w:hAnsi="Arial" w:cs="Arial"/>
          <w:b/>
          <w:sz w:val="24"/>
          <w:szCs w:val="24"/>
        </w:rPr>
        <w:t>This is the end of the exam.  Please hold your test and answer sheet until the contest director asks for them.  Thank you!</w:t>
      </w:r>
    </w:p>
    <w:p w:rsidR="004B056A" w:rsidRPr="004B056A" w:rsidRDefault="007F0C45" w:rsidP="004B056A">
      <w:pPr>
        <w:spacing w:after="200" w:line="276" w:lineRule="auto"/>
        <w:rPr>
          <w:rFonts w:eastAsiaTheme="minorEastAsia" w:cs="Arial"/>
          <w:b/>
        </w:rPr>
      </w:pPr>
      <w:r>
        <w:rPr>
          <w:rFonts w:cs="Arial"/>
          <w:b/>
        </w:rPr>
        <w:br w:type="page"/>
      </w:r>
    </w:p>
    <w:p w:rsidR="004B056A" w:rsidRPr="004B056A" w:rsidRDefault="004B056A" w:rsidP="004B056A">
      <w:pPr>
        <w:jc w:val="center"/>
        <w:rPr>
          <w:rFonts w:eastAsiaTheme="minorEastAsia" w:cs="Arial"/>
          <w:b/>
          <w:i/>
          <w:sz w:val="32"/>
          <w:szCs w:val="32"/>
        </w:rPr>
      </w:pPr>
      <w:r w:rsidRPr="004B056A">
        <w:rPr>
          <w:rFonts w:eastAsiaTheme="minorEastAsia" w:cs="Arial"/>
          <w:b/>
          <w:i/>
          <w:sz w:val="32"/>
          <w:szCs w:val="32"/>
        </w:rPr>
        <w:lastRenderedPageBreak/>
        <w:t xml:space="preserve">Table </w:t>
      </w:r>
      <w:r>
        <w:rPr>
          <w:rFonts w:eastAsiaTheme="minorEastAsia" w:cs="Arial"/>
          <w:b/>
          <w:i/>
          <w:sz w:val="32"/>
          <w:szCs w:val="32"/>
        </w:rPr>
        <w:t>1</w:t>
      </w:r>
    </w:p>
    <w:p w:rsidR="004B056A" w:rsidRPr="004B056A" w:rsidRDefault="004B056A" w:rsidP="004B056A">
      <w:pPr>
        <w:jc w:val="center"/>
        <w:rPr>
          <w:rFonts w:eastAsiaTheme="minorEastAsia" w:cs="Arial"/>
          <w:b/>
        </w:rPr>
      </w:pPr>
      <w:r w:rsidRPr="004B056A">
        <w:rPr>
          <w:rFonts w:eastAsiaTheme="minorEastAsia" w:cs="Arial"/>
          <w:b/>
        </w:rPr>
        <w:t>(</w:t>
      </w:r>
      <w:proofErr w:type="gramStart"/>
      <w:r w:rsidRPr="004B056A">
        <w:rPr>
          <w:rFonts w:eastAsiaTheme="minorEastAsia" w:cs="Arial"/>
          <w:b/>
        </w:rPr>
        <w:t>for</w:t>
      </w:r>
      <w:proofErr w:type="gramEnd"/>
      <w:r w:rsidRPr="004B056A">
        <w:rPr>
          <w:rFonts w:eastAsiaTheme="minorEastAsia" w:cs="Arial"/>
          <w:b/>
        </w:rPr>
        <w:t xml:space="preserve"> questions </w:t>
      </w:r>
      <w:r>
        <w:rPr>
          <w:rFonts w:eastAsiaTheme="minorEastAsia" w:cs="Arial"/>
          <w:b/>
        </w:rPr>
        <w:t>4</w:t>
      </w:r>
      <w:r w:rsidR="005D63F4">
        <w:rPr>
          <w:rFonts w:eastAsiaTheme="minorEastAsia" w:cs="Arial"/>
          <w:b/>
        </w:rPr>
        <w:t>4</w:t>
      </w:r>
      <w:r w:rsidRPr="004B056A">
        <w:rPr>
          <w:rFonts w:eastAsiaTheme="minorEastAsia" w:cs="Arial"/>
          <w:b/>
        </w:rPr>
        <w:t xml:space="preserve"> through </w:t>
      </w:r>
      <w:r>
        <w:rPr>
          <w:rFonts w:eastAsiaTheme="minorEastAsia" w:cs="Arial"/>
          <w:b/>
        </w:rPr>
        <w:t>5</w:t>
      </w:r>
      <w:r w:rsidR="005D63F4">
        <w:rPr>
          <w:rFonts w:eastAsiaTheme="minorEastAsia" w:cs="Arial"/>
          <w:b/>
        </w:rPr>
        <w:t>7</w:t>
      </w:r>
      <w:r w:rsidRPr="004B056A">
        <w:rPr>
          <w:rFonts w:eastAsiaTheme="minorEastAsia" w:cs="Arial"/>
          <w:b/>
        </w:rPr>
        <w:t>)</w:t>
      </w:r>
    </w:p>
    <w:p w:rsidR="004B056A" w:rsidRPr="004B056A" w:rsidRDefault="004B056A" w:rsidP="004B056A">
      <w:pPr>
        <w:jc w:val="center"/>
        <w:rPr>
          <w:rFonts w:eastAsiaTheme="minorEastAsia" w:cs="Arial"/>
          <w:b/>
          <w:sz w:val="16"/>
          <w:szCs w:val="16"/>
        </w:rPr>
      </w:pPr>
    </w:p>
    <w:p w:rsidR="004B056A" w:rsidRPr="004B056A" w:rsidRDefault="004B056A" w:rsidP="004B056A">
      <w:pPr>
        <w:tabs>
          <w:tab w:val="left" w:pos="432"/>
        </w:tabs>
        <w:jc w:val="both"/>
        <w:rPr>
          <w:rFonts w:cs="Arial"/>
          <w:b/>
          <w:sz w:val="22"/>
          <w:szCs w:val="22"/>
        </w:rPr>
      </w:pPr>
      <w:r w:rsidRPr="004B056A">
        <w:rPr>
          <w:rFonts w:cs="Arial"/>
          <w:b/>
          <w:sz w:val="22"/>
          <w:szCs w:val="22"/>
        </w:rPr>
        <w:t xml:space="preserve">Three guys decided they would start a chain of retail stores that sell golf equipment and souvenirs.  They chose to form a partnership called </w:t>
      </w:r>
      <w:r w:rsidRPr="004B056A">
        <w:rPr>
          <w:rFonts w:cs="Arial"/>
          <w:b/>
          <w:i/>
          <w:sz w:val="22"/>
          <w:szCs w:val="22"/>
          <w:u w:val="single"/>
        </w:rPr>
        <w:t>Three Under Par</w:t>
      </w:r>
      <w:r w:rsidRPr="004B056A">
        <w:rPr>
          <w:rFonts w:cs="Arial"/>
          <w:b/>
          <w:sz w:val="22"/>
          <w:szCs w:val="22"/>
        </w:rPr>
        <w:t>, and they began by opening one store in the year 2014.  The partners began the business by contributing the following appraised assets to the partnership on May 23, 2014:</w:t>
      </w:r>
    </w:p>
    <w:p w:rsidR="004B056A" w:rsidRPr="004B056A" w:rsidRDefault="004B056A" w:rsidP="004B056A">
      <w:pPr>
        <w:tabs>
          <w:tab w:val="left" w:pos="432"/>
        </w:tabs>
        <w:rPr>
          <w:sz w:val="22"/>
          <w:szCs w:val="22"/>
        </w:rPr>
      </w:pPr>
    </w:p>
    <w:tbl>
      <w:tblPr>
        <w:tblW w:w="0" w:type="auto"/>
        <w:tblLayout w:type="fixed"/>
        <w:tblLook w:val="0000" w:firstRow="0" w:lastRow="0" w:firstColumn="0" w:lastColumn="0" w:noHBand="0" w:noVBand="0"/>
      </w:tblPr>
      <w:tblGrid>
        <w:gridCol w:w="2718"/>
        <w:gridCol w:w="2340"/>
        <w:gridCol w:w="2124"/>
        <w:gridCol w:w="2196"/>
      </w:tblGrid>
      <w:tr w:rsidR="004B056A" w:rsidRPr="004B056A" w:rsidTr="003A5E33">
        <w:tc>
          <w:tcPr>
            <w:tcW w:w="2718" w:type="dxa"/>
            <w:tcBorders>
              <w:top w:val="single" w:sz="6" w:space="0" w:color="000000"/>
              <w:left w:val="single" w:sz="12" w:space="0" w:color="000000"/>
              <w:bottom w:val="single" w:sz="6" w:space="0" w:color="000000"/>
              <w:right w:val="single" w:sz="6" w:space="0" w:color="000000"/>
            </w:tcBorders>
            <w:shd w:val="solid" w:color="C0C0C0" w:fill="FFFFFF"/>
          </w:tcPr>
          <w:p w:rsidR="004B056A" w:rsidRPr="004B056A" w:rsidRDefault="004B056A" w:rsidP="004B056A">
            <w:pPr>
              <w:tabs>
                <w:tab w:val="left" w:pos="432"/>
              </w:tabs>
              <w:rPr>
                <w:sz w:val="22"/>
                <w:szCs w:val="22"/>
              </w:rPr>
            </w:pPr>
          </w:p>
        </w:tc>
        <w:tc>
          <w:tcPr>
            <w:tcW w:w="2340" w:type="dxa"/>
            <w:tcBorders>
              <w:top w:val="single" w:sz="6" w:space="0" w:color="000000"/>
              <w:left w:val="single" w:sz="6" w:space="0" w:color="000000"/>
              <w:bottom w:val="single" w:sz="6" w:space="0" w:color="000000"/>
              <w:right w:val="single" w:sz="6" w:space="0" w:color="000000"/>
            </w:tcBorders>
            <w:shd w:val="solid" w:color="C0C0C0" w:fill="FFFFFF"/>
          </w:tcPr>
          <w:p w:rsidR="004B056A" w:rsidRPr="004B056A" w:rsidRDefault="004B056A" w:rsidP="004B056A">
            <w:pPr>
              <w:tabs>
                <w:tab w:val="left" w:pos="432"/>
              </w:tabs>
              <w:jc w:val="center"/>
              <w:rPr>
                <w:b/>
                <w:sz w:val="22"/>
                <w:szCs w:val="22"/>
              </w:rPr>
            </w:pPr>
            <w:r w:rsidRPr="004B056A">
              <w:rPr>
                <w:b/>
                <w:sz w:val="22"/>
                <w:szCs w:val="22"/>
              </w:rPr>
              <w:t>Jordan Day</w:t>
            </w:r>
          </w:p>
        </w:tc>
        <w:tc>
          <w:tcPr>
            <w:tcW w:w="2124" w:type="dxa"/>
            <w:tcBorders>
              <w:top w:val="single" w:sz="6" w:space="0" w:color="000000"/>
              <w:left w:val="single" w:sz="6" w:space="0" w:color="000000"/>
              <w:bottom w:val="single" w:sz="6" w:space="0" w:color="000000"/>
              <w:right w:val="single" w:sz="6" w:space="0" w:color="000000"/>
            </w:tcBorders>
            <w:shd w:val="solid" w:color="C0C0C0" w:fill="FFFFFF"/>
          </w:tcPr>
          <w:p w:rsidR="004B056A" w:rsidRPr="004B056A" w:rsidRDefault="004B056A" w:rsidP="004B056A">
            <w:pPr>
              <w:tabs>
                <w:tab w:val="left" w:pos="432"/>
              </w:tabs>
              <w:jc w:val="center"/>
              <w:rPr>
                <w:b/>
                <w:sz w:val="22"/>
                <w:szCs w:val="22"/>
              </w:rPr>
            </w:pPr>
            <w:r w:rsidRPr="004B056A">
              <w:rPr>
                <w:b/>
                <w:sz w:val="22"/>
                <w:szCs w:val="22"/>
              </w:rPr>
              <w:t>Bubba Rose</w:t>
            </w:r>
          </w:p>
        </w:tc>
        <w:tc>
          <w:tcPr>
            <w:tcW w:w="2196" w:type="dxa"/>
            <w:tcBorders>
              <w:top w:val="single" w:sz="6" w:space="0" w:color="000000"/>
              <w:left w:val="single" w:sz="6" w:space="0" w:color="000000"/>
              <w:bottom w:val="single" w:sz="6" w:space="0" w:color="000000"/>
              <w:right w:val="single" w:sz="12" w:space="0" w:color="000000"/>
            </w:tcBorders>
            <w:shd w:val="solid" w:color="C0C0C0" w:fill="FFFFFF"/>
          </w:tcPr>
          <w:p w:rsidR="004B056A" w:rsidRPr="004B056A" w:rsidRDefault="004B056A" w:rsidP="004B056A">
            <w:pPr>
              <w:tabs>
                <w:tab w:val="left" w:pos="432"/>
              </w:tabs>
              <w:jc w:val="center"/>
              <w:rPr>
                <w:b/>
                <w:sz w:val="22"/>
                <w:szCs w:val="22"/>
              </w:rPr>
            </w:pPr>
            <w:r w:rsidRPr="004B056A">
              <w:rPr>
                <w:b/>
                <w:sz w:val="22"/>
                <w:szCs w:val="22"/>
              </w:rPr>
              <w:t>Rickie Watson</w:t>
            </w:r>
          </w:p>
        </w:tc>
      </w:tr>
      <w:tr w:rsidR="004B056A" w:rsidRPr="004B056A" w:rsidTr="003A5E33">
        <w:tc>
          <w:tcPr>
            <w:tcW w:w="2718" w:type="dxa"/>
            <w:tcBorders>
              <w:top w:val="single" w:sz="6" w:space="0" w:color="000000"/>
              <w:left w:val="single" w:sz="12" w:space="0" w:color="000000"/>
              <w:bottom w:val="single" w:sz="4" w:space="0" w:color="auto"/>
              <w:right w:val="single" w:sz="6" w:space="0" w:color="000000"/>
            </w:tcBorders>
          </w:tcPr>
          <w:p w:rsidR="004B056A" w:rsidRPr="004B056A" w:rsidRDefault="004B056A" w:rsidP="004B056A">
            <w:pPr>
              <w:tabs>
                <w:tab w:val="left" w:pos="432"/>
              </w:tabs>
              <w:rPr>
                <w:b/>
                <w:bCs/>
                <w:sz w:val="22"/>
                <w:szCs w:val="22"/>
              </w:rPr>
            </w:pPr>
            <w:r w:rsidRPr="004B056A">
              <w:rPr>
                <w:b/>
                <w:bCs/>
                <w:sz w:val="22"/>
                <w:szCs w:val="22"/>
              </w:rPr>
              <w:t>Cash</w:t>
            </w:r>
          </w:p>
        </w:tc>
        <w:tc>
          <w:tcPr>
            <w:tcW w:w="2340" w:type="dxa"/>
            <w:tcBorders>
              <w:top w:val="single" w:sz="6" w:space="0" w:color="000000"/>
              <w:left w:val="single" w:sz="6" w:space="0" w:color="000000"/>
              <w:bottom w:val="single" w:sz="4" w:space="0" w:color="auto"/>
              <w:right w:val="single" w:sz="6" w:space="0" w:color="000000"/>
            </w:tcBorders>
          </w:tcPr>
          <w:p w:rsidR="004B056A" w:rsidRPr="004B056A" w:rsidRDefault="004B056A" w:rsidP="004B056A">
            <w:pPr>
              <w:tabs>
                <w:tab w:val="left" w:pos="432"/>
              </w:tabs>
              <w:jc w:val="center"/>
              <w:rPr>
                <w:b/>
                <w:bCs/>
                <w:sz w:val="22"/>
                <w:szCs w:val="22"/>
              </w:rPr>
            </w:pPr>
            <w:r w:rsidRPr="004B056A">
              <w:rPr>
                <w:b/>
                <w:bCs/>
                <w:sz w:val="22"/>
                <w:szCs w:val="22"/>
              </w:rPr>
              <w:t>68,000</w:t>
            </w:r>
          </w:p>
        </w:tc>
        <w:tc>
          <w:tcPr>
            <w:tcW w:w="2124" w:type="dxa"/>
            <w:tcBorders>
              <w:top w:val="single" w:sz="6" w:space="0" w:color="000000"/>
              <w:left w:val="single" w:sz="6" w:space="0" w:color="000000"/>
              <w:bottom w:val="single" w:sz="4" w:space="0" w:color="auto"/>
              <w:right w:val="single" w:sz="6" w:space="0" w:color="000000"/>
            </w:tcBorders>
          </w:tcPr>
          <w:p w:rsidR="004B056A" w:rsidRPr="004B056A" w:rsidRDefault="004B056A" w:rsidP="004B056A">
            <w:pPr>
              <w:tabs>
                <w:tab w:val="left" w:pos="432"/>
              </w:tabs>
              <w:jc w:val="center"/>
              <w:rPr>
                <w:b/>
                <w:bCs/>
                <w:sz w:val="22"/>
                <w:szCs w:val="22"/>
              </w:rPr>
            </w:pPr>
            <w:r w:rsidRPr="004B056A">
              <w:rPr>
                <w:b/>
                <w:bCs/>
                <w:sz w:val="22"/>
                <w:szCs w:val="22"/>
              </w:rPr>
              <w:t>43,000</w:t>
            </w:r>
          </w:p>
        </w:tc>
        <w:tc>
          <w:tcPr>
            <w:tcW w:w="2196" w:type="dxa"/>
            <w:tcBorders>
              <w:top w:val="single" w:sz="6" w:space="0" w:color="000000"/>
              <w:left w:val="single" w:sz="6" w:space="0" w:color="000000"/>
              <w:bottom w:val="single" w:sz="4" w:space="0" w:color="auto"/>
              <w:right w:val="single" w:sz="12" w:space="0" w:color="000000"/>
            </w:tcBorders>
          </w:tcPr>
          <w:p w:rsidR="004B056A" w:rsidRPr="004B056A" w:rsidRDefault="004B056A" w:rsidP="004B056A">
            <w:pPr>
              <w:tabs>
                <w:tab w:val="left" w:pos="432"/>
              </w:tabs>
              <w:jc w:val="center"/>
              <w:rPr>
                <w:b/>
                <w:bCs/>
                <w:sz w:val="22"/>
                <w:szCs w:val="22"/>
              </w:rPr>
            </w:pPr>
            <w:r w:rsidRPr="004B056A">
              <w:rPr>
                <w:b/>
                <w:bCs/>
                <w:sz w:val="22"/>
                <w:szCs w:val="22"/>
              </w:rPr>
              <w:t>93,000</w:t>
            </w:r>
          </w:p>
        </w:tc>
      </w:tr>
      <w:tr w:rsidR="004B056A" w:rsidRPr="004B056A" w:rsidTr="003A5E33">
        <w:tc>
          <w:tcPr>
            <w:tcW w:w="2718" w:type="dxa"/>
            <w:tcBorders>
              <w:top w:val="single" w:sz="4" w:space="0" w:color="auto"/>
              <w:left w:val="single" w:sz="12" w:space="0" w:color="000000"/>
              <w:bottom w:val="single" w:sz="4" w:space="0" w:color="auto"/>
              <w:right w:val="single" w:sz="6" w:space="0" w:color="000000"/>
            </w:tcBorders>
          </w:tcPr>
          <w:p w:rsidR="004B056A" w:rsidRPr="004B056A" w:rsidRDefault="004B056A" w:rsidP="004B056A">
            <w:pPr>
              <w:tabs>
                <w:tab w:val="left" w:pos="432"/>
              </w:tabs>
              <w:rPr>
                <w:b/>
                <w:bCs/>
                <w:sz w:val="22"/>
                <w:szCs w:val="22"/>
              </w:rPr>
            </w:pPr>
            <w:r w:rsidRPr="004B056A">
              <w:rPr>
                <w:b/>
                <w:bCs/>
                <w:sz w:val="22"/>
                <w:szCs w:val="22"/>
              </w:rPr>
              <w:t>Inventory (souvenirs)</w:t>
            </w:r>
          </w:p>
        </w:tc>
        <w:tc>
          <w:tcPr>
            <w:tcW w:w="2340" w:type="dxa"/>
            <w:tcBorders>
              <w:top w:val="single" w:sz="4" w:space="0" w:color="auto"/>
              <w:left w:val="single" w:sz="6" w:space="0" w:color="000000"/>
              <w:bottom w:val="single" w:sz="4" w:space="0" w:color="auto"/>
              <w:right w:val="single" w:sz="6" w:space="0" w:color="000000"/>
            </w:tcBorders>
          </w:tcPr>
          <w:p w:rsidR="004B056A" w:rsidRPr="004B056A" w:rsidRDefault="004B056A" w:rsidP="004B056A">
            <w:pPr>
              <w:tabs>
                <w:tab w:val="left" w:pos="432"/>
              </w:tabs>
              <w:jc w:val="center"/>
              <w:rPr>
                <w:b/>
                <w:bCs/>
                <w:sz w:val="22"/>
                <w:szCs w:val="22"/>
              </w:rPr>
            </w:pPr>
            <w:r w:rsidRPr="004B056A">
              <w:rPr>
                <w:b/>
                <w:bCs/>
                <w:sz w:val="22"/>
                <w:szCs w:val="22"/>
              </w:rPr>
              <w:t>50,000</w:t>
            </w:r>
          </w:p>
        </w:tc>
        <w:tc>
          <w:tcPr>
            <w:tcW w:w="2124" w:type="dxa"/>
            <w:tcBorders>
              <w:top w:val="single" w:sz="4" w:space="0" w:color="auto"/>
              <w:left w:val="single" w:sz="6" w:space="0" w:color="000000"/>
              <w:bottom w:val="single" w:sz="4" w:space="0" w:color="auto"/>
              <w:right w:val="single" w:sz="6" w:space="0" w:color="000000"/>
            </w:tcBorders>
          </w:tcPr>
          <w:p w:rsidR="004B056A" w:rsidRPr="004B056A" w:rsidRDefault="004B056A" w:rsidP="004B056A">
            <w:pPr>
              <w:tabs>
                <w:tab w:val="left" w:pos="432"/>
              </w:tabs>
              <w:jc w:val="center"/>
              <w:rPr>
                <w:b/>
                <w:bCs/>
                <w:sz w:val="22"/>
                <w:szCs w:val="22"/>
              </w:rPr>
            </w:pPr>
            <w:r w:rsidRPr="004B056A">
              <w:rPr>
                <w:b/>
                <w:bCs/>
                <w:sz w:val="22"/>
                <w:szCs w:val="22"/>
              </w:rPr>
              <w:t>95,000</w:t>
            </w:r>
          </w:p>
        </w:tc>
        <w:tc>
          <w:tcPr>
            <w:tcW w:w="2196" w:type="dxa"/>
            <w:tcBorders>
              <w:top w:val="single" w:sz="4" w:space="0" w:color="auto"/>
              <w:left w:val="single" w:sz="6" w:space="0" w:color="000000"/>
              <w:bottom w:val="single" w:sz="4" w:space="0" w:color="auto"/>
              <w:right w:val="single" w:sz="12" w:space="0" w:color="000000"/>
            </w:tcBorders>
          </w:tcPr>
          <w:p w:rsidR="004B056A" w:rsidRPr="004B056A" w:rsidRDefault="004B056A" w:rsidP="004B056A">
            <w:pPr>
              <w:tabs>
                <w:tab w:val="left" w:pos="432"/>
              </w:tabs>
              <w:jc w:val="center"/>
              <w:rPr>
                <w:b/>
                <w:bCs/>
                <w:sz w:val="22"/>
                <w:szCs w:val="22"/>
              </w:rPr>
            </w:pPr>
            <w:r w:rsidRPr="004B056A">
              <w:rPr>
                <w:b/>
                <w:bCs/>
                <w:sz w:val="22"/>
                <w:szCs w:val="22"/>
              </w:rPr>
              <w:t>75,000</w:t>
            </w:r>
          </w:p>
        </w:tc>
      </w:tr>
      <w:tr w:rsidR="004B056A" w:rsidRPr="004B056A" w:rsidTr="003A5E33">
        <w:tc>
          <w:tcPr>
            <w:tcW w:w="2718" w:type="dxa"/>
            <w:tcBorders>
              <w:top w:val="single" w:sz="4" w:space="0" w:color="auto"/>
              <w:left w:val="single" w:sz="12" w:space="0" w:color="000000"/>
              <w:bottom w:val="single" w:sz="4" w:space="0" w:color="auto"/>
              <w:right w:val="single" w:sz="6" w:space="0" w:color="000000"/>
            </w:tcBorders>
          </w:tcPr>
          <w:p w:rsidR="004B056A" w:rsidRPr="004B056A" w:rsidRDefault="004B056A" w:rsidP="004B056A">
            <w:pPr>
              <w:tabs>
                <w:tab w:val="left" w:pos="432"/>
              </w:tabs>
              <w:rPr>
                <w:b/>
                <w:bCs/>
                <w:sz w:val="22"/>
                <w:szCs w:val="22"/>
              </w:rPr>
            </w:pPr>
            <w:r w:rsidRPr="004B056A">
              <w:rPr>
                <w:b/>
                <w:bCs/>
                <w:sz w:val="22"/>
                <w:szCs w:val="22"/>
              </w:rPr>
              <w:t>Equipment</w:t>
            </w:r>
          </w:p>
        </w:tc>
        <w:tc>
          <w:tcPr>
            <w:tcW w:w="2340" w:type="dxa"/>
            <w:tcBorders>
              <w:top w:val="single" w:sz="4" w:space="0" w:color="auto"/>
              <w:left w:val="single" w:sz="6" w:space="0" w:color="000000"/>
              <w:bottom w:val="single" w:sz="4" w:space="0" w:color="auto"/>
              <w:right w:val="single" w:sz="6" w:space="0" w:color="000000"/>
            </w:tcBorders>
          </w:tcPr>
          <w:p w:rsidR="004B056A" w:rsidRPr="004B056A" w:rsidRDefault="004B056A" w:rsidP="004B056A">
            <w:pPr>
              <w:tabs>
                <w:tab w:val="left" w:pos="432"/>
              </w:tabs>
              <w:rPr>
                <w:b/>
                <w:bCs/>
                <w:sz w:val="22"/>
                <w:szCs w:val="22"/>
              </w:rPr>
            </w:pPr>
          </w:p>
        </w:tc>
        <w:tc>
          <w:tcPr>
            <w:tcW w:w="2124" w:type="dxa"/>
            <w:tcBorders>
              <w:top w:val="single" w:sz="4" w:space="0" w:color="auto"/>
              <w:left w:val="single" w:sz="6" w:space="0" w:color="000000"/>
              <w:bottom w:val="single" w:sz="4" w:space="0" w:color="auto"/>
              <w:right w:val="single" w:sz="6" w:space="0" w:color="000000"/>
            </w:tcBorders>
          </w:tcPr>
          <w:p w:rsidR="004B056A" w:rsidRPr="004B056A" w:rsidRDefault="004B056A" w:rsidP="004B056A">
            <w:pPr>
              <w:tabs>
                <w:tab w:val="left" w:pos="432"/>
              </w:tabs>
              <w:jc w:val="center"/>
              <w:rPr>
                <w:b/>
                <w:bCs/>
                <w:sz w:val="22"/>
                <w:szCs w:val="22"/>
              </w:rPr>
            </w:pPr>
            <w:r w:rsidRPr="004B056A">
              <w:rPr>
                <w:b/>
                <w:bCs/>
                <w:sz w:val="22"/>
                <w:szCs w:val="22"/>
              </w:rPr>
              <w:t>55,000</w:t>
            </w:r>
          </w:p>
        </w:tc>
        <w:tc>
          <w:tcPr>
            <w:tcW w:w="2196" w:type="dxa"/>
            <w:tcBorders>
              <w:top w:val="single" w:sz="4" w:space="0" w:color="auto"/>
              <w:left w:val="single" w:sz="6" w:space="0" w:color="000000"/>
              <w:bottom w:val="single" w:sz="4" w:space="0" w:color="auto"/>
              <w:right w:val="single" w:sz="12" w:space="0" w:color="000000"/>
            </w:tcBorders>
          </w:tcPr>
          <w:p w:rsidR="004B056A" w:rsidRPr="004B056A" w:rsidRDefault="004B056A" w:rsidP="004B056A">
            <w:pPr>
              <w:tabs>
                <w:tab w:val="left" w:pos="432"/>
              </w:tabs>
              <w:jc w:val="center"/>
              <w:rPr>
                <w:b/>
                <w:bCs/>
                <w:sz w:val="22"/>
                <w:szCs w:val="22"/>
              </w:rPr>
            </w:pPr>
          </w:p>
        </w:tc>
      </w:tr>
    </w:tbl>
    <w:p w:rsidR="004B056A" w:rsidRPr="004B056A" w:rsidRDefault="004B056A" w:rsidP="004B056A">
      <w:pPr>
        <w:tabs>
          <w:tab w:val="left" w:pos="432"/>
        </w:tabs>
        <w:rPr>
          <w:sz w:val="22"/>
          <w:szCs w:val="22"/>
        </w:rPr>
      </w:pPr>
    </w:p>
    <w:p w:rsidR="004B056A" w:rsidRPr="004B056A" w:rsidRDefault="004B056A" w:rsidP="004B056A">
      <w:pPr>
        <w:jc w:val="both"/>
        <w:rPr>
          <w:rFonts w:eastAsiaTheme="minorEastAsia" w:cs="Arial"/>
          <w:b/>
          <w:sz w:val="22"/>
          <w:szCs w:val="22"/>
        </w:rPr>
      </w:pPr>
      <w:r w:rsidRPr="004B056A">
        <w:rPr>
          <w:rFonts w:eastAsiaTheme="minorEastAsia" w:cs="Arial"/>
          <w:b/>
          <w:sz w:val="22"/>
          <w:szCs w:val="22"/>
        </w:rPr>
        <w:t>On July 8, 2014 the partners made the following additional contributions of cash to the partnership:</w:t>
      </w:r>
    </w:p>
    <w:tbl>
      <w:tblPr>
        <w:tblStyle w:val="TableGrid"/>
        <w:tblW w:w="0" w:type="auto"/>
        <w:tblInd w:w="828" w:type="dxa"/>
        <w:tblLook w:val="04A0" w:firstRow="1" w:lastRow="0" w:firstColumn="1" w:lastColumn="0" w:noHBand="0" w:noVBand="1"/>
      </w:tblPr>
      <w:tblGrid>
        <w:gridCol w:w="1800"/>
        <w:gridCol w:w="1530"/>
      </w:tblGrid>
      <w:tr w:rsidR="004B056A" w:rsidRPr="004B056A" w:rsidTr="003A5E33">
        <w:tc>
          <w:tcPr>
            <w:tcW w:w="1800" w:type="dxa"/>
            <w:tcBorders>
              <w:top w:val="nil"/>
              <w:left w:val="nil"/>
            </w:tcBorders>
          </w:tcPr>
          <w:p w:rsidR="004B056A" w:rsidRPr="004B056A" w:rsidRDefault="004B056A" w:rsidP="004B056A">
            <w:pPr>
              <w:rPr>
                <w:rFonts w:eastAsiaTheme="minorEastAsia" w:cs="Arial"/>
                <w:b/>
                <w:sz w:val="22"/>
                <w:szCs w:val="22"/>
              </w:rPr>
            </w:pPr>
          </w:p>
        </w:tc>
        <w:tc>
          <w:tcPr>
            <w:tcW w:w="1530" w:type="dxa"/>
            <w:shd w:val="clear" w:color="auto" w:fill="BFBFBF" w:themeFill="background1" w:themeFillShade="BF"/>
          </w:tcPr>
          <w:p w:rsidR="004B056A" w:rsidRPr="004B056A" w:rsidRDefault="004B056A" w:rsidP="004B056A">
            <w:pPr>
              <w:jc w:val="center"/>
              <w:rPr>
                <w:rFonts w:eastAsiaTheme="minorEastAsia" w:cs="Arial"/>
                <w:b/>
                <w:sz w:val="22"/>
                <w:szCs w:val="22"/>
              </w:rPr>
            </w:pPr>
            <w:r w:rsidRPr="004B056A">
              <w:rPr>
                <w:rFonts w:eastAsiaTheme="minorEastAsia" w:cs="Arial"/>
                <w:b/>
                <w:sz w:val="22"/>
                <w:szCs w:val="22"/>
              </w:rPr>
              <w:t>Amount</w:t>
            </w:r>
          </w:p>
        </w:tc>
      </w:tr>
      <w:tr w:rsidR="004B056A" w:rsidRPr="004B056A" w:rsidTr="003A5E33">
        <w:tc>
          <w:tcPr>
            <w:tcW w:w="1800" w:type="dxa"/>
          </w:tcPr>
          <w:p w:rsidR="004B056A" w:rsidRPr="004B056A" w:rsidRDefault="004B056A" w:rsidP="004B056A">
            <w:pPr>
              <w:rPr>
                <w:rFonts w:eastAsiaTheme="minorEastAsia" w:cs="Arial"/>
                <w:b/>
                <w:sz w:val="22"/>
                <w:szCs w:val="22"/>
              </w:rPr>
            </w:pPr>
            <w:r w:rsidRPr="004B056A">
              <w:rPr>
                <w:rFonts w:eastAsiaTheme="minorEastAsia" w:cs="Arial"/>
                <w:b/>
                <w:sz w:val="22"/>
                <w:szCs w:val="22"/>
              </w:rPr>
              <w:t>Jordan Day</w:t>
            </w:r>
          </w:p>
        </w:tc>
        <w:tc>
          <w:tcPr>
            <w:tcW w:w="1530" w:type="dxa"/>
          </w:tcPr>
          <w:p w:rsidR="004B056A" w:rsidRPr="004B056A" w:rsidRDefault="004B056A" w:rsidP="004B056A">
            <w:pPr>
              <w:jc w:val="center"/>
              <w:rPr>
                <w:rFonts w:eastAsiaTheme="minorEastAsia" w:cs="Arial"/>
                <w:b/>
                <w:sz w:val="22"/>
                <w:szCs w:val="22"/>
              </w:rPr>
            </w:pPr>
            <w:r w:rsidRPr="004B056A">
              <w:rPr>
                <w:rFonts w:eastAsiaTheme="minorEastAsia" w:cs="Arial"/>
                <w:b/>
                <w:sz w:val="22"/>
                <w:szCs w:val="22"/>
              </w:rPr>
              <w:t>25,000</w:t>
            </w:r>
          </w:p>
        </w:tc>
      </w:tr>
      <w:tr w:rsidR="004B056A" w:rsidRPr="004B056A" w:rsidTr="003A5E33">
        <w:tc>
          <w:tcPr>
            <w:tcW w:w="1800" w:type="dxa"/>
          </w:tcPr>
          <w:p w:rsidR="004B056A" w:rsidRPr="004B056A" w:rsidRDefault="004B056A" w:rsidP="004B056A">
            <w:pPr>
              <w:rPr>
                <w:rFonts w:eastAsiaTheme="minorEastAsia" w:cs="Arial"/>
                <w:b/>
                <w:sz w:val="22"/>
                <w:szCs w:val="22"/>
              </w:rPr>
            </w:pPr>
            <w:r w:rsidRPr="004B056A">
              <w:rPr>
                <w:rFonts w:eastAsiaTheme="minorEastAsia" w:cs="Arial"/>
                <w:b/>
                <w:sz w:val="22"/>
                <w:szCs w:val="22"/>
              </w:rPr>
              <w:t>Bubba Rose</w:t>
            </w:r>
          </w:p>
        </w:tc>
        <w:tc>
          <w:tcPr>
            <w:tcW w:w="1530" w:type="dxa"/>
          </w:tcPr>
          <w:p w:rsidR="004B056A" w:rsidRPr="004B056A" w:rsidRDefault="004B056A" w:rsidP="004B056A">
            <w:pPr>
              <w:jc w:val="center"/>
              <w:rPr>
                <w:rFonts w:eastAsiaTheme="minorEastAsia" w:cs="Arial"/>
                <w:b/>
                <w:sz w:val="22"/>
                <w:szCs w:val="22"/>
              </w:rPr>
            </w:pPr>
            <w:r w:rsidRPr="004B056A">
              <w:rPr>
                <w:rFonts w:eastAsiaTheme="minorEastAsia" w:cs="Arial"/>
                <w:b/>
                <w:sz w:val="22"/>
                <w:szCs w:val="22"/>
              </w:rPr>
              <w:t>40,000</w:t>
            </w:r>
          </w:p>
        </w:tc>
      </w:tr>
      <w:tr w:rsidR="004B056A" w:rsidRPr="004B056A" w:rsidTr="003A5E33">
        <w:tc>
          <w:tcPr>
            <w:tcW w:w="1800" w:type="dxa"/>
          </w:tcPr>
          <w:p w:rsidR="004B056A" w:rsidRPr="004B056A" w:rsidRDefault="004B056A" w:rsidP="004B056A">
            <w:pPr>
              <w:rPr>
                <w:rFonts w:eastAsiaTheme="minorEastAsia" w:cs="Arial"/>
                <w:b/>
                <w:sz w:val="22"/>
                <w:szCs w:val="22"/>
              </w:rPr>
            </w:pPr>
            <w:r w:rsidRPr="004B056A">
              <w:rPr>
                <w:rFonts w:eastAsiaTheme="minorEastAsia" w:cs="Arial"/>
                <w:b/>
                <w:sz w:val="22"/>
                <w:szCs w:val="22"/>
              </w:rPr>
              <w:t>Rickie Watson</w:t>
            </w:r>
          </w:p>
        </w:tc>
        <w:tc>
          <w:tcPr>
            <w:tcW w:w="1530" w:type="dxa"/>
          </w:tcPr>
          <w:p w:rsidR="004B056A" w:rsidRPr="004B056A" w:rsidRDefault="004B056A" w:rsidP="004B056A">
            <w:pPr>
              <w:jc w:val="center"/>
              <w:rPr>
                <w:rFonts w:eastAsiaTheme="minorEastAsia" w:cs="Arial"/>
                <w:b/>
                <w:sz w:val="22"/>
                <w:szCs w:val="22"/>
              </w:rPr>
            </w:pPr>
            <w:r w:rsidRPr="004B056A">
              <w:rPr>
                <w:rFonts w:eastAsiaTheme="minorEastAsia" w:cs="Arial"/>
                <w:b/>
                <w:sz w:val="22"/>
                <w:szCs w:val="22"/>
              </w:rPr>
              <w:t>35,000</w:t>
            </w:r>
          </w:p>
        </w:tc>
      </w:tr>
    </w:tbl>
    <w:p w:rsidR="004B056A" w:rsidRPr="004B056A" w:rsidRDefault="004B056A" w:rsidP="004B056A">
      <w:pPr>
        <w:tabs>
          <w:tab w:val="left" w:pos="432"/>
        </w:tabs>
        <w:jc w:val="both"/>
        <w:rPr>
          <w:b/>
          <w:sz w:val="22"/>
          <w:szCs w:val="22"/>
        </w:rPr>
      </w:pPr>
    </w:p>
    <w:p w:rsidR="004B056A" w:rsidRPr="004B056A" w:rsidRDefault="004B056A" w:rsidP="004B056A">
      <w:pPr>
        <w:rPr>
          <w:rFonts w:eastAsiaTheme="minorEastAsia" w:cs="Arial"/>
          <w:b/>
          <w:sz w:val="22"/>
          <w:szCs w:val="22"/>
        </w:rPr>
      </w:pPr>
      <w:r w:rsidRPr="004B056A">
        <w:rPr>
          <w:rFonts w:eastAsiaTheme="minorEastAsia" w:cs="Arial"/>
          <w:b/>
          <w:i/>
          <w:sz w:val="22"/>
          <w:szCs w:val="22"/>
          <w:u w:val="single"/>
        </w:rPr>
        <w:t>Three Under Par</w:t>
      </w:r>
      <w:r w:rsidRPr="004B056A">
        <w:rPr>
          <w:rFonts w:eastAsiaTheme="minorEastAsia" w:cs="Arial"/>
          <w:b/>
          <w:sz w:val="22"/>
          <w:szCs w:val="22"/>
        </w:rPr>
        <w:t xml:space="preserve"> prepares adjusting and closing entries only at the end of the fiscal year which is December 31.</w:t>
      </w:r>
    </w:p>
    <w:p w:rsidR="004B056A" w:rsidRPr="004B056A" w:rsidRDefault="004B056A" w:rsidP="004B056A">
      <w:pPr>
        <w:tabs>
          <w:tab w:val="left" w:pos="432"/>
        </w:tabs>
        <w:jc w:val="both"/>
        <w:rPr>
          <w:b/>
          <w:sz w:val="22"/>
          <w:szCs w:val="22"/>
        </w:rPr>
      </w:pPr>
    </w:p>
    <w:p w:rsidR="004B056A" w:rsidRPr="004B056A" w:rsidRDefault="004B056A" w:rsidP="004B056A">
      <w:pPr>
        <w:tabs>
          <w:tab w:val="left" w:pos="432"/>
        </w:tabs>
        <w:jc w:val="both"/>
        <w:rPr>
          <w:b/>
          <w:sz w:val="22"/>
          <w:szCs w:val="22"/>
        </w:rPr>
      </w:pPr>
      <w:r w:rsidRPr="004B056A">
        <w:rPr>
          <w:b/>
          <w:sz w:val="22"/>
          <w:szCs w:val="22"/>
        </w:rPr>
        <w:t>The net income for the year 2014 was $21,000.  The written partnership agreement signed on May 23, 2014 stated that profits and losses are shared equally among the partners.  The partners did not withdraw any assets for personal use in the year 2014.</w:t>
      </w:r>
    </w:p>
    <w:p w:rsidR="004B056A" w:rsidRPr="004B056A" w:rsidRDefault="004B056A" w:rsidP="004B056A">
      <w:pPr>
        <w:tabs>
          <w:tab w:val="left" w:pos="432"/>
        </w:tabs>
        <w:jc w:val="both"/>
        <w:rPr>
          <w:b/>
          <w:sz w:val="22"/>
          <w:szCs w:val="22"/>
        </w:rPr>
      </w:pPr>
    </w:p>
    <w:p w:rsidR="004B056A" w:rsidRPr="004B056A" w:rsidRDefault="004B056A" w:rsidP="004B056A">
      <w:pPr>
        <w:tabs>
          <w:tab w:val="left" w:pos="432"/>
        </w:tabs>
        <w:jc w:val="both"/>
        <w:rPr>
          <w:b/>
          <w:sz w:val="22"/>
          <w:szCs w:val="22"/>
          <w:u w:val="single"/>
        </w:rPr>
      </w:pPr>
      <w:r w:rsidRPr="004B056A">
        <w:rPr>
          <w:b/>
          <w:sz w:val="22"/>
          <w:szCs w:val="22"/>
          <w:u w:val="single"/>
        </w:rPr>
        <w:t>Information for the Second Year of Business Operations (2015):</w:t>
      </w:r>
    </w:p>
    <w:p w:rsidR="004B056A" w:rsidRPr="004B056A" w:rsidRDefault="004B056A" w:rsidP="004B056A">
      <w:pPr>
        <w:tabs>
          <w:tab w:val="left" w:pos="432"/>
        </w:tabs>
        <w:rPr>
          <w:sz w:val="22"/>
          <w:szCs w:val="22"/>
        </w:rPr>
      </w:pPr>
    </w:p>
    <w:p w:rsidR="004B056A" w:rsidRPr="004B056A" w:rsidRDefault="004B056A" w:rsidP="00784922">
      <w:pPr>
        <w:tabs>
          <w:tab w:val="left" w:pos="432"/>
        </w:tabs>
        <w:jc w:val="both"/>
        <w:rPr>
          <w:b/>
          <w:sz w:val="22"/>
          <w:szCs w:val="22"/>
        </w:rPr>
      </w:pPr>
      <w:r w:rsidRPr="004B056A">
        <w:rPr>
          <w:b/>
          <w:sz w:val="22"/>
          <w:szCs w:val="22"/>
        </w:rPr>
        <w:t>On January 1, 2015 the partners discussed, agreed unanimously, and each signed an amendment to the written partnership agreement.  The amendment stipulated that beginning on 1-1-15 and thereafter, the partners will share net income or net loss in the same ratio as the beginning balances of their capital accounts as of the date of the amendment (before any transactions occurred for the second year of operations).</w:t>
      </w:r>
    </w:p>
    <w:p w:rsidR="004B056A" w:rsidRPr="004B056A" w:rsidRDefault="004B056A" w:rsidP="004B056A">
      <w:pPr>
        <w:rPr>
          <w:rFonts w:eastAsiaTheme="minorEastAsia" w:cs="Arial"/>
          <w:b/>
          <w:sz w:val="22"/>
          <w:szCs w:val="22"/>
        </w:rPr>
      </w:pPr>
    </w:p>
    <w:p w:rsidR="004B056A" w:rsidRPr="004B056A" w:rsidRDefault="004B056A" w:rsidP="00784922">
      <w:pPr>
        <w:jc w:val="both"/>
        <w:rPr>
          <w:rFonts w:eastAsiaTheme="minorEastAsia" w:cs="Arial"/>
          <w:b/>
          <w:sz w:val="22"/>
          <w:szCs w:val="22"/>
        </w:rPr>
      </w:pPr>
      <w:r w:rsidRPr="004B056A">
        <w:rPr>
          <w:rFonts w:eastAsiaTheme="minorEastAsia" w:cs="Arial"/>
          <w:b/>
          <w:sz w:val="22"/>
          <w:szCs w:val="22"/>
        </w:rPr>
        <w:t>During 2015, the partners did not make any capit</w:t>
      </w:r>
      <w:bookmarkStart w:id="0" w:name="_GoBack"/>
      <w:bookmarkEnd w:id="0"/>
      <w:r w:rsidRPr="004B056A">
        <w:rPr>
          <w:rFonts w:eastAsiaTheme="minorEastAsia" w:cs="Arial"/>
          <w:b/>
          <w:sz w:val="22"/>
          <w:szCs w:val="22"/>
        </w:rPr>
        <w:t>al contributions, nor did they make any partner withdrawals of cash or assets.  The gross profit percentage is 40%.</w:t>
      </w:r>
    </w:p>
    <w:p w:rsidR="004B056A" w:rsidRPr="004B056A" w:rsidRDefault="004B056A" w:rsidP="004B056A">
      <w:pPr>
        <w:rPr>
          <w:rFonts w:eastAsiaTheme="minorEastAsia" w:cs="Arial"/>
          <w:b/>
          <w:sz w:val="22"/>
          <w:szCs w:val="22"/>
        </w:rPr>
      </w:pPr>
    </w:p>
    <w:p w:rsidR="004B056A" w:rsidRPr="004B056A" w:rsidRDefault="004B056A" w:rsidP="004B056A">
      <w:pPr>
        <w:jc w:val="both"/>
        <w:rPr>
          <w:rFonts w:eastAsiaTheme="minorEastAsia" w:cs="Arial"/>
          <w:b/>
          <w:sz w:val="22"/>
          <w:szCs w:val="22"/>
        </w:rPr>
      </w:pPr>
      <w:r w:rsidRPr="004B056A">
        <w:rPr>
          <w:rFonts w:eastAsiaTheme="minorEastAsia" w:cs="Arial"/>
          <w:b/>
          <w:sz w:val="22"/>
          <w:szCs w:val="22"/>
        </w:rPr>
        <w:t xml:space="preserve">The following information for </w:t>
      </w:r>
      <w:r w:rsidRPr="004B056A">
        <w:rPr>
          <w:rFonts w:eastAsiaTheme="minorEastAsia" w:cs="Arial"/>
          <w:b/>
          <w:i/>
          <w:sz w:val="22"/>
          <w:szCs w:val="22"/>
          <w:u w:val="single"/>
        </w:rPr>
        <w:t>Three Under Par</w:t>
      </w:r>
      <w:r w:rsidRPr="004B056A">
        <w:rPr>
          <w:rFonts w:eastAsiaTheme="minorEastAsia" w:cs="Arial"/>
          <w:b/>
          <w:sz w:val="22"/>
          <w:szCs w:val="22"/>
        </w:rPr>
        <w:t xml:space="preserve"> is taken from the adjusted trial balance of the worksheet for the year ended 12-31-15.  All accounts have normal balances.  </w:t>
      </w:r>
    </w:p>
    <w:p w:rsidR="004B056A" w:rsidRPr="004B056A" w:rsidRDefault="004B056A" w:rsidP="004B056A">
      <w:pPr>
        <w:rPr>
          <w:sz w:val="22"/>
          <w:szCs w:val="22"/>
        </w:rPr>
      </w:pPr>
    </w:p>
    <w:tbl>
      <w:tblPr>
        <w:tblW w:w="0" w:type="auto"/>
        <w:jc w:val="center"/>
        <w:tblInd w:w="-15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817"/>
        <w:gridCol w:w="1350"/>
        <w:gridCol w:w="540"/>
        <w:gridCol w:w="2493"/>
        <w:gridCol w:w="1467"/>
      </w:tblGrid>
      <w:tr w:rsidR="004B056A" w:rsidRPr="004B056A" w:rsidTr="003A5E33">
        <w:trPr>
          <w:jc w:val="center"/>
        </w:trPr>
        <w:tc>
          <w:tcPr>
            <w:tcW w:w="2817" w:type="dxa"/>
            <w:shd w:val="pct25" w:color="auto" w:fill="FFFFFF"/>
          </w:tcPr>
          <w:p w:rsidR="004B056A" w:rsidRPr="004B056A" w:rsidRDefault="004B056A" w:rsidP="004B056A">
            <w:pPr>
              <w:jc w:val="center"/>
              <w:rPr>
                <w:b/>
                <w:sz w:val="22"/>
                <w:szCs w:val="22"/>
              </w:rPr>
            </w:pPr>
            <w:r w:rsidRPr="004B056A">
              <w:rPr>
                <w:b/>
                <w:sz w:val="22"/>
                <w:szCs w:val="22"/>
              </w:rPr>
              <w:t>Account  Title</w:t>
            </w:r>
          </w:p>
        </w:tc>
        <w:tc>
          <w:tcPr>
            <w:tcW w:w="1350" w:type="dxa"/>
            <w:shd w:val="pct25" w:color="auto" w:fill="FFFFFF"/>
          </w:tcPr>
          <w:p w:rsidR="004B056A" w:rsidRPr="004B056A" w:rsidRDefault="004B056A" w:rsidP="004B056A">
            <w:pPr>
              <w:jc w:val="center"/>
              <w:rPr>
                <w:b/>
                <w:sz w:val="22"/>
                <w:szCs w:val="22"/>
              </w:rPr>
            </w:pPr>
            <w:r w:rsidRPr="004B056A">
              <w:rPr>
                <w:b/>
                <w:sz w:val="22"/>
                <w:szCs w:val="22"/>
              </w:rPr>
              <w:t>Amount</w:t>
            </w:r>
          </w:p>
        </w:tc>
        <w:tc>
          <w:tcPr>
            <w:tcW w:w="540" w:type="dxa"/>
            <w:shd w:val="pct25" w:color="auto" w:fill="FFFFFF"/>
          </w:tcPr>
          <w:p w:rsidR="004B056A" w:rsidRPr="004B056A" w:rsidRDefault="004B056A" w:rsidP="004B056A">
            <w:pPr>
              <w:rPr>
                <w:b/>
                <w:sz w:val="22"/>
                <w:szCs w:val="22"/>
              </w:rPr>
            </w:pPr>
          </w:p>
        </w:tc>
        <w:tc>
          <w:tcPr>
            <w:tcW w:w="2493" w:type="dxa"/>
            <w:shd w:val="pct25" w:color="auto" w:fill="FFFFFF"/>
          </w:tcPr>
          <w:p w:rsidR="004B056A" w:rsidRPr="004B056A" w:rsidRDefault="004B056A" w:rsidP="004B056A">
            <w:pPr>
              <w:jc w:val="center"/>
              <w:rPr>
                <w:b/>
                <w:sz w:val="22"/>
                <w:szCs w:val="22"/>
              </w:rPr>
            </w:pPr>
            <w:r w:rsidRPr="004B056A">
              <w:rPr>
                <w:b/>
                <w:sz w:val="22"/>
                <w:szCs w:val="22"/>
              </w:rPr>
              <w:t>Account Title</w:t>
            </w:r>
          </w:p>
        </w:tc>
        <w:tc>
          <w:tcPr>
            <w:tcW w:w="1467" w:type="dxa"/>
            <w:shd w:val="pct25" w:color="auto" w:fill="FFFFFF"/>
          </w:tcPr>
          <w:p w:rsidR="004B056A" w:rsidRPr="004B056A" w:rsidRDefault="004B056A" w:rsidP="004B056A">
            <w:pPr>
              <w:jc w:val="center"/>
              <w:rPr>
                <w:b/>
                <w:sz w:val="22"/>
                <w:szCs w:val="22"/>
              </w:rPr>
            </w:pPr>
            <w:r w:rsidRPr="004B056A">
              <w:rPr>
                <w:b/>
                <w:sz w:val="22"/>
                <w:szCs w:val="22"/>
              </w:rPr>
              <w:t>Amount</w:t>
            </w:r>
          </w:p>
        </w:tc>
      </w:tr>
      <w:tr w:rsidR="004B056A" w:rsidRPr="004B056A" w:rsidTr="003A5E33">
        <w:trPr>
          <w:jc w:val="center"/>
        </w:trPr>
        <w:tc>
          <w:tcPr>
            <w:tcW w:w="2817" w:type="dxa"/>
          </w:tcPr>
          <w:p w:rsidR="004B056A" w:rsidRPr="004B056A" w:rsidRDefault="004B056A" w:rsidP="004B056A">
            <w:pPr>
              <w:rPr>
                <w:sz w:val="22"/>
                <w:szCs w:val="22"/>
              </w:rPr>
            </w:pPr>
            <w:r w:rsidRPr="004B056A">
              <w:rPr>
                <w:sz w:val="22"/>
                <w:szCs w:val="22"/>
              </w:rPr>
              <w:t>Cash in Bank</w:t>
            </w:r>
          </w:p>
        </w:tc>
        <w:tc>
          <w:tcPr>
            <w:tcW w:w="1350" w:type="dxa"/>
          </w:tcPr>
          <w:p w:rsidR="004B056A" w:rsidRPr="004B056A" w:rsidRDefault="004B056A" w:rsidP="004B056A">
            <w:pPr>
              <w:jc w:val="right"/>
              <w:rPr>
                <w:sz w:val="22"/>
                <w:szCs w:val="22"/>
              </w:rPr>
            </w:pPr>
            <w:r w:rsidRPr="004B056A">
              <w:rPr>
                <w:sz w:val="22"/>
                <w:szCs w:val="22"/>
              </w:rPr>
              <w:t>117,202</w:t>
            </w:r>
          </w:p>
        </w:tc>
        <w:tc>
          <w:tcPr>
            <w:tcW w:w="540" w:type="dxa"/>
          </w:tcPr>
          <w:p w:rsidR="004B056A" w:rsidRPr="004B056A" w:rsidRDefault="004B056A" w:rsidP="004B056A">
            <w:pPr>
              <w:rPr>
                <w:sz w:val="22"/>
                <w:szCs w:val="22"/>
              </w:rPr>
            </w:pPr>
          </w:p>
        </w:tc>
        <w:tc>
          <w:tcPr>
            <w:tcW w:w="2493" w:type="dxa"/>
          </w:tcPr>
          <w:p w:rsidR="004B056A" w:rsidRPr="004B056A" w:rsidRDefault="004B056A" w:rsidP="004B056A">
            <w:pPr>
              <w:rPr>
                <w:sz w:val="22"/>
                <w:szCs w:val="22"/>
              </w:rPr>
            </w:pPr>
            <w:r w:rsidRPr="004B056A">
              <w:rPr>
                <w:sz w:val="22"/>
                <w:szCs w:val="22"/>
              </w:rPr>
              <w:t>Jordan Day, Capital</w:t>
            </w:r>
          </w:p>
        </w:tc>
        <w:tc>
          <w:tcPr>
            <w:tcW w:w="1467" w:type="dxa"/>
          </w:tcPr>
          <w:p w:rsidR="004B056A" w:rsidRPr="004B056A" w:rsidRDefault="004B056A" w:rsidP="004B056A">
            <w:pPr>
              <w:rPr>
                <w:sz w:val="22"/>
                <w:szCs w:val="22"/>
              </w:rPr>
            </w:pPr>
            <w:r w:rsidRPr="004B056A">
              <w:rPr>
                <w:sz w:val="22"/>
                <w:szCs w:val="22"/>
              </w:rPr>
              <w:t xml:space="preserve">             ?</w:t>
            </w:r>
          </w:p>
        </w:tc>
      </w:tr>
      <w:tr w:rsidR="004B056A" w:rsidRPr="004B056A" w:rsidTr="003A5E33">
        <w:trPr>
          <w:jc w:val="center"/>
        </w:trPr>
        <w:tc>
          <w:tcPr>
            <w:tcW w:w="2817" w:type="dxa"/>
          </w:tcPr>
          <w:p w:rsidR="004B056A" w:rsidRPr="004B056A" w:rsidRDefault="004B056A" w:rsidP="004B056A">
            <w:pPr>
              <w:rPr>
                <w:sz w:val="22"/>
                <w:szCs w:val="22"/>
              </w:rPr>
            </w:pPr>
            <w:r w:rsidRPr="004B056A">
              <w:rPr>
                <w:sz w:val="22"/>
                <w:szCs w:val="22"/>
              </w:rPr>
              <w:t>Accounts Receivable</w:t>
            </w:r>
          </w:p>
        </w:tc>
        <w:tc>
          <w:tcPr>
            <w:tcW w:w="1350" w:type="dxa"/>
          </w:tcPr>
          <w:p w:rsidR="004B056A" w:rsidRPr="004B056A" w:rsidRDefault="004B056A" w:rsidP="004B056A">
            <w:pPr>
              <w:jc w:val="right"/>
              <w:rPr>
                <w:sz w:val="22"/>
                <w:szCs w:val="22"/>
              </w:rPr>
            </w:pPr>
            <w:r w:rsidRPr="004B056A">
              <w:rPr>
                <w:sz w:val="22"/>
                <w:szCs w:val="22"/>
              </w:rPr>
              <w:t>6,792</w:t>
            </w:r>
          </w:p>
        </w:tc>
        <w:tc>
          <w:tcPr>
            <w:tcW w:w="540" w:type="dxa"/>
          </w:tcPr>
          <w:p w:rsidR="004B056A" w:rsidRPr="004B056A" w:rsidRDefault="004B056A" w:rsidP="004B056A">
            <w:pPr>
              <w:rPr>
                <w:sz w:val="22"/>
                <w:szCs w:val="22"/>
              </w:rPr>
            </w:pPr>
          </w:p>
        </w:tc>
        <w:tc>
          <w:tcPr>
            <w:tcW w:w="2493" w:type="dxa"/>
          </w:tcPr>
          <w:p w:rsidR="004B056A" w:rsidRPr="004B056A" w:rsidRDefault="004B056A" w:rsidP="004B056A">
            <w:pPr>
              <w:rPr>
                <w:sz w:val="22"/>
                <w:szCs w:val="22"/>
              </w:rPr>
            </w:pPr>
            <w:r w:rsidRPr="004B056A">
              <w:rPr>
                <w:sz w:val="22"/>
                <w:szCs w:val="22"/>
              </w:rPr>
              <w:t>Bubba Rose, Capital</w:t>
            </w:r>
          </w:p>
        </w:tc>
        <w:tc>
          <w:tcPr>
            <w:tcW w:w="1467" w:type="dxa"/>
          </w:tcPr>
          <w:p w:rsidR="004B056A" w:rsidRPr="004B056A" w:rsidRDefault="004B056A" w:rsidP="004B056A">
            <w:pPr>
              <w:rPr>
                <w:sz w:val="22"/>
                <w:szCs w:val="22"/>
              </w:rPr>
            </w:pPr>
            <w:r w:rsidRPr="004B056A">
              <w:rPr>
                <w:sz w:val="22"/>
                <w:szCs w:val="22"/>
              </w:rPr>
              <w:t xml:space="preserve">             ?</w:t>
            </w:r>
          </w:p>
        </w:tc>
      </w:tr>
      <w:tr w:rsidR="004B056A" w:rsidRPr="004B056A" w:rsidTr="003A5E33">
        <w:trPr>
          <w:jc w:val="center"/>
        </w:trPr>
        <w:tc>
          <w:tcPr>
            <w:tcW w:w="2817" w:type="dxa"/>
          </w:tcPr>
          <w:p w:rsidR="004B056A" w:rsidRPr="004B056A" w:rsidRDefault="004B056A" w:rsidP="004B056A">
            <w:pPr>
              <w:rPr>
                <w:sz w:val="22"/>
                <w:szCs w:val="22"/>
              </w:rPr>
            </w:pPr>
            <w:r w:rsidRPr="004B056A">
              <w:rPr>
                <w:sz w:val="22"/>
                <w:szCs w:val="22"/>
              </w:rPr>
              <w:t>Merchandise Inventory</w:t>
            </w:r>
          </w:p>
        </w:tc>
        <w:tc>
          <w:tcPr>
            <w:tcW w:w="1350" w:type="dxa"/>
          </w:tcPr>
          <w:p w:rsidR="004B056A" w:rsidRPr="004B056A" w:rsidRDefault="004B056A" w:rsidP="004B056A">
            <w:pPr>
              <w:jc w:val="right"/>
              <w:rPr>
                <w:sz w:val="22"/>
                <w:szCs w:val="22"/>
              </w:rPr>
            </w:pPr>
            <w:r w:rsidRPr="004B056A">
              <w:rPr>
                <w:sz w:val="22"/>
                <w:szCs w:val="22"/>
              </w:rPr>
              <w:t>199,740</w:t>
            </w:r>
          </w:p>
        </w:tc>
        <w:tc>
          <w:tcPr>
            <w:tcW w:w="540" w:type="dxa"/>
          </w:tcPr>
          <w:p w:rsidR="004B056A" w:rsidRPr="004B056A" w:rsidRDefault="004B056A" w:rsidP="004B056A">
            <w:pPr>
              <w:rPr>
                <w:sz w:val="22"/>
                <w:szCs w:val="22"/>
              </w:rPr>
            </w:pPr>
          </w:p>
        </w:tc>
        <w:tc>
          <w:tcPr>
            <w:tcW w:w="2493" w:type="dxa"/>
          </w:tcPr>
          <w:p w:rsidR="004B056A" w:rsidRPr="004B056A" w:rsidRDefault="004B056A" w:rsidP="004B056A">
            <w:pPr>
              <w:rPr>
                <w:sz w:val="22"/>
                <w:szCs w:val="22"/>
              </w:rPr>
            </w:pPr>
            <w:r w:rsidRPr="004B056A">
              <w:rPr>
                <w:sz w:val="22"/>
                <w:szCs w:val="22"/>
              </w:rPr>
              <w:t>Rickie Watson, Capital</w:t>
            </w:r>
          </w:p>
        </w:tc>
        <w:tc>
          <w:tcPr>
            <w:tcW w:w="1467" w:type="dxa"/>
          </w:tcPr>
          <w:p w:rsidR="004B056A" w:rsidRPr="004B056A" w:rsidRDefault="004B056A" w:rsidP="004B056A">
            <w:pPr>
              <w:rPr>
                <w:sz w:val="22"/>
                <w:szCs w:val="22"/>
              </w:rPr>
            </w:pPr>
            <w:r w:rsidRPr="004B056A">
              <w:rPr>
                <w:sz w:val="22"/>
                <w:szCs w:val="22"/>
              </w:rPr>
              <w:t xml:space="preserve">             ?</w:t>
            </w:r>
          </w:p>
        </w:tc>
      </w:tr>
      <w:tr w:rsidR="004B056A" w:rsidRPr="004B056A" w:rsidTr="003A5E33">
        <w:trPr>
          <w:jc w:val="center"/>
        </w:trPr>
        <w:tc>
          <w:tcPr>
            <w:tcW w:w="2817" w:type="dxa"/>
          </w:tcPr>
          <w:p w:rsidR="004B056A" w:rsidRPr="004B056A" w:rsidRDefault="00694CC2" w:rsidP="004B056A">
            <w:pPr>
              <w:rPr>
                <w:sz w:val="22"/>
                <w:szCs w:val="22"/>
              </w:rPr>
            </w:pPr>
            <w:r>
              <w:rPr>
                <w:sz w:val="22"/>
                <w:szCs w:val="22"/>
              </w:rPr>
              <w:t>Equipment</w:t>
            </w:r>
          </w:p>
        </w:tc>
        <w:tc>
          <w:tcPr>
            <w:tcW w:w="1350" w:type="dxa"/>
          </w:tcPr>
          <w:p w:rsidR="004B056A" w:rsidRPr="004B056A" w:rsidRDefault="004B056A" w:rsidP="004B056A">
            <w:pPr>
              <w:jc w:val="right"/>
              <w:rPr>
                <w:sz w:val="22"/>
                <w:szCs w:val="22"/>
              </w:rPr>
            </w:pPr>
            <w:r w:rsidRPr="004B056A">
              <w:rPr>
                <w:sz w:val="22"/>
                <w:szCs w:val="22"/>
              </w:rPr>
              <w:t>182,640</w:t>
            </w:r>
          </w:p>
        </w:tc>
        <w:tc>
          <w:tcPr>
            <w:tcW w:w="540" w:type="dxa"/>
          </w:tcPr>
          <w:p w:rsidR="004B056A" w:rsidRPr="004B056A" w:rsidRDefault="004B056A" w:rsidP="004B056A">
            <w:pPr>
              <w:rPr>
                <w:sz w:val="22"/>
                <w:szCs w:val="22"/>
              </w:rPr>
            </w:pPr>
          </w:p>
        </w:tc>
        <w:tc>
          <w:tcPr>
            <w:tcW w:w="2493" w:type="dxa"/>
          </w:tcPr>
          <w:p w:rsidR="004B056A" w:rsidRPr="004B056A" w:rsidRDefault="004B056A" w:rsidP="004B056A">
            <w:pPr>
              <w:rPr>
                <w:sz w:val="22"/>
                <w:szCs w:val="22"/>
              </w:rPr>
            </w:pPr>
            <w:r w:rsidRPr="004B056A">
              <w:rPr>
                <w:sz w:val="22"/>
                <w:szCs w:val="22"/>
              </w:rPr>
              <w:t>Income Summary</w:t>
            </w:r>
          </w:p>
        </w:tc>
        <w:tc>
          <w:tcPr>
            <w:tcW w:w="1467" w:type="dxa"/>
          </w:tcPr>
          <w:p w:rsidR="004B056A" w:rsidRPr="004B056A" w:rsidRDefault="004B056A" w:rsidP="004B056A">
            <w:pPr>
              <w:jc w:val="center"/>
              <w:rPr>
                <w:sz w:val="22"/>
                <w:szCs w:val="22"/>
              </w:rPr>
            </w:pPr>
            <w:r w:rsidRPr="004B056A">
              <w:rPr>
                <w:sz w:val="22"/>
                <w:szCs w:val="22"/>
              </w:rPr>
              <w:t xml:space="preserve">  DR  1,720      </w:t>
            </w:r>
          </w:p>
        </w:tc>
      </w:tr>
      <w:tr w:rsidR="004B056A" w:rsidRPr="004B056A" w:rsidTr="003A5E33">
        <w:trPr>
          <w:jc w:val="center"/>
        </w:trPr>
        <w:tc>
          <w:tcPr>
            <w:tcW w:w="2817" w:type="dxa"/>
          </w:tcPr>
          <w:p w:rsidR="004B056A" w:rsidRPr="004B056A" w:rsidRDefault="004B056A" w:rsidP="004B056A">
            <w:pPr>
              <w:rPr>
                <w:sz w:val="22"/>
                <w:szCs w:val="22"/>
              </w:rPr>
            </w:pPr>
            <w:r w:rsidRPr="004B056A">
              <w:rPr>
                <w:sz w:val="22"/>
                <w:szCs w:val="22"/>
              </w:rPr>
              <w:t>Building</w:t>
            </w:r>
          </w:p>
        </w:tc>
        <w:tc>
          <w:tcPr>
            <w:tcW w:w="1350" w:type="dxa"/>
          </w:tcPr>
          <w:p w:rsidR="004B056A" w:rsidRPr="004B056A" w:rsidRDefault="004B056A" w:rsidP="004B056A">
            <w:pPr>
              <w:jc w:val="right"/>
              <w:rPr>
                <w:sz w:val="22"/>
                <w:szCs w:val="22"/>
              </w:rPr>
            </w:pPr>
            <w:r w:rsidRPr="004B056A">
              <w:rPr>
                <w:sz w:val="22"/>
                <w:szCs w:val="22"/>
              </w:rPr>
              <w:t>500,000</w:t>
            </w:r>
          </w:p>
        </w:tc>
        <w:tc>
          <w:tcPr>
            <w:tcW w:w="540" w:type="dxa"/>
          </w:tcPr>
          <w:p w:rsidR="004B056A" w:rsidRPr="004B056A" w:rsidRDefault="004B056A" w:rsidP="004B056A">
            <w:pPr>
              <w:rPr>
                <w:sz w:val="22"/>
                <w:szCs w:val="22"/>
              </w:rPr>
            </w:pPr>
          </w:p>
        </w:tc>
        <w:tc>
          <w:tcPr>
            <w:tcW w:w="2493" w:type="dxa"/>
          </w:tcPr>
          <w:p w:rsidR="004B056A" w:rsidRPr="004B056A" w:rsidRDefault="004B056A" w:rsidP="004B056A">
            <w:pPr>
              <w:rPr>
                <w:sz w:val="22"/>
                <w:szCs w:val="22"/>
              </w:rPr>
            </w:pPr>
            <w:r w:rsidRPr="004B056A">
              <w:rPr>
                <w:sz w:val="22"/>
                <w:szCs w:val="22"/>
              </w:rPr>
              <w:t>Sales</w:t>
            </w:r>
          </w:p>
        </w:tc>
        <w:tc>
          <w:tcPr>
            <w:tcW w:w="1467" w:type="dxa"/>
          </w:tcPr>
          <w:p w:rsidR="004B056A" w:rsidRPr="004B056A" w:rsidRDefault="004B056A" w:rsidP="004B056A">
            <w:pPr>
              <w:rPr>
                <w:sz w:val="22"/>
                <w:szCs w:val="22"/>
              </w:rPr>
            </w:pPr>
            <w:r w:rsidRPr="004B056A">
              <w:rPr>
                <w:sz w:val="22"/>
                <w:szCs w:val="22"/>
              </w:rPr>
              <w:t xml:space="preserve">             ?</w:t>
            </w:r>
          </w:p>
        </w:tc>
      </w:tr>
      <w:tr w:rsidR="004B056A" w:rsidRPr="004B056A" w:rsidTr="003A5E33">
        <w:trPr>
          <w:jc w:val="center"/>
        </w:trPr>
        <w:tc>
          <w:tcPr>
            <w:tcW w:w="2817" w:type="dxa"/>
          </w:tcPr>
          <w:p w:rsidR="004B056A" w:rsidRPr="004B056A" w:rsidRDefault="004B056A" w:rsidP="004B056A">
            <w:pPr>
              <w:rPr>
                <w:sz w:val="22"/>
                <w:szCs w:val="22"/>
              </w:rPr>
            </w:pPr>
            <w:r w:rsidRPr="004B056A">
              <w:rPr>
                <w:sz w:val="22"/>
                <w:szCs w:val="22"/>
              </w:rPr>
              <w:t>Land</w:t>
            </w:r>
          </w:p>
        </w:tc>
        <w:tc>
          <w:tcPr>
            <w:tcW w:w="1350" w:type="dxa"/>
          </w:tcPr>
          <w:p w:rsidR="004B056A" w:rsidRPr="004B056A" w:rsidRDefault="004B056A" w:rsidP="004B056A">
            <w:pPr>
              <w:jc w:val="right"/>
              <w:rPr>
                <w:sz w:val="22"/>
                <w:szCs w:val="22"/>
              </w:rPr>
            </w:pPr>
            <w:r w:rsidRPr="004B056A">
              <w:rPr>
                <w:sz w:val="22"/>
                <w:szCs w:val="22"/>
              </w:rPr>
              <w:t>20,000</w:t>
            </w:r>
          </w:p>
        </w:tc>
        <w:tc>
          <w:tcPr>
            <w:tcW w:w="540" w:type="dxa"/>
          </w:tcPr>
          <w:p w:rsidR="004B056A" w:rsidRPr="004B056A" w:rsidRDefault="004B056A" w:rsidP="004B056A">
            <w:pPr>
              <w:rPr>
                <w:sz w:val="22"/>
                <w:szCs w:val="22"/>
              </w:rPr>
            </w:pPr>
          </w:p>
        </w:tc>
        <w:tc>
          <w:tcPr>
            <w:tcW w:w="2493" w:type="dxa"/>
          </w:tcPr>
          <w:p w:rsidR="004B056A" w:rsidRPr="004B056A" w:rsidRDefault="004B056A" w:rsidP="004B056A">
            <w:pPr>
              <w:rPr>
                <w:sz w:val="22"/>
                <w:szCs w:val="22"/>
              </w:rPr>
            </w:pPr>
            <w:r w:rsidRPr="004B056A">
              <w:rPr>
                <w:sz w:val="22"/>
                <w:szCs w:val="22"/>
              </w:rPr>
              <w:t>Purchases</w:t>
            </w:r>
          </w:p>
        </w:tc>
        <w:tc>
          <w:tcPr>
            <w:tcW w:w="1467" w:type="dxa"/>
          </w:tcPr>
          <w:p w:rsidR="004B056A" w:rsidRPr="004B056A" w:rsidRDefault="004B056A" w:rsidP="004B056A">
            <w:pPr>
              <w:jc w:val="right"/>
              <w:rPr>
                <w:sz w:val="22"/>
                <w:szCs w:val="22"/>
              </w:rPr>
            </w:pPr>
            <w:r w:rsidRPr="004B056A">
              <w:rPr>
                <w:sz w:val="22"/>
                <w:szCs w:val="22"/>
              </w:rPr>
              <w:t>594,812</w:t>
            </w:r>
          </w:p>
        </w:tc>
      </w:tr>
      <w:tr w:rsidR="004B056A" w:rsidRPr="004B056A" w:rsidTr="003A5E33">
        <w:trPr>
          <w:jc w:val="center"/>
        </w:trPr>
        <w:tc>
          <w:tcPr>
            <w:tcW w:w="2817" w:type="dxa"/>
          </w:tcPr>
          <w:p w:rsidR="004B056A" w:rsidRPr="004B056A" w:rsidRDefault="004B056A" w:rsidP="004B056A">
            <w:pPr>
              <w:rPr>
                <w:sz w:val="22"/>
                <w:szCs w:val="22"/>
              </w:rPr>
            </w:pPr>
            <w:r w:rsidRPr="004B056A">
              <w:rPr>
                <w:sz w:val="22"/>
                <w:szCs w:val="22"/>
              </w:rPr>
              <w:t>Accounts Payable</w:t>
            </w:r>
          </w:p>
        </w:tc>
        <w:tc>
          <w:tcPr>
            <w:tcW w:w="1350" w:type="dxa"/>
          </w:tcPr>
          <w:p w:rsidR="004B056A" w:rsidRPr="004B056A" w:rsidRDefault="004B056A" w:rsidP="004B056A">
            <w:pPr>
              <w:rPr>
                <w:sz w:val="22"/>
                <w:szCs w:val="22"/>
              </w:rPr>
            </w:pPr>
            <w:r w:rsidRPr="004B056A">
              <w:rPr>
                <w:sz w:val="22"/>
                <w:szCs w:val="22"/>
              </w:rPr>
              <w:t xml:space="preserve">         ?</w:t>
            </w:r>
          </w:p>
        </w:tc>
        <w:tc>
          <w:tcPr>
            <w:tcW w:w="540" w:type="dxa"/>
          </w:tcPr>
          <w:p w:rsidR="004B056A" w:rsidRPr="004B056A" w:rsidRDefault="004B056A" w:rsidP="004B056A">
            <w:pPr>
              <w:rPr>
                <w:sz w:val="22"/>
                <w:szCs w:val="22"/>
              </w:rPr>
            </w:pPr>
          </w:p>
        </w:tc>
        <w:tc>
          <w:tcPr>
            <w:tcW w:w="2493" w:type="dxa"/>
          </w:tcPr>
          <w:p w:rsidR="004B056A" w:rsidRPr="004B056A" w:rsidRDefault="004B056A" w:rsidP="004B056A">
            <w:pPr>
              <w:rPr>
                <w:sz w:val="22"/>
                <w:szCs w:val="22"/>
              </w:rPr>
            </w:pPr>
            <w:r w:rsidRPr="004B056A">
              <w:rPr>
                <w:sz w:val="22"/>
                <w:szCs w:val="22"/>
              </w:rPr>
              <w:t>Expenses</w:t>
            </w:r>
          </w:p>
        </w:tc>
        <w:tc>
          <w:tcPr>
            <w:tcW w:w="1467" w:type="dxa"/>
          </w:tcPr>
          <w:p w:rsidR="004B056A" w:rsidRPr="004B056A" w:rsidRDefault="004B056A" w:rsidP="004B056A">
            <w:pPr>
              <w:jc w:val="right"/>
              <w:rPr>
                <w:sz w:val="22"/>
                <w:szCs w:val="22"/>
              </w:rPr>
            </w:pPr>
            <w:r w:rsidRPr="004B056A">
              <w:rPr>
                <w:sz w:val="22"/>
                <w:szCs w:val="22"/>
              </w:rPr>
              <w:t>257,068</w:t>
            </w:r>
          </w:p>
        </w:tc>
      </w:tr>
      <w:tr w:rsidR="004B056A" w:rsidRPr="004B056A" w:rsidTr="003A5E33">
        <w:trPr>
          <w:jc w:val="center"/>
        </w:trPr>
        <w:tc>
          <w:tcPr>
            <w:tcW w:w="2817" w:type="dxa"/>
          </w:tcPr>
          <w:p w:rsidR="004B056A" w:rsidRPr="004B056A" w:rsidRDefault="004B056A" w:rsidP="004B056A">
            <w:pPr>
              <w:rPr>
                <w:sz w:val="22"/>
                <w:szCs w:val="22"/>
              </w:rPr>
            </w:pPr>
            <w:r w:rsidRPr="004B056A">
              <w:rPr>
                <w:sz w:val="22"/>
                <w:szCs w:val="22"/>
              </w:rPr>
              <w:t>Mortgage Payable</w:t>
            </w:r>
          </w:p>
        </w:tc>
        <w:tc>
          <w:tcPr>
            <w:tcW w:w="1350" w:type="dxa"/>
          </w:tcPr>
          <w:p w:rsidR="004B056A" w:rsidRPr="004B056A" w:rsidRDefault="004B056A" w:rsidP="004B056A">
            <w:pPr>
              <w:jc w:val="right"/>
              <w:rPr>
                <w:sz w:val="22"/>
                <w:szCs w:val="22"/>
              </w:rPr>
            </w:pPr>
            <w:r w:rsidRPr="004B056A">
              <w:rPr>
                <w:sz w:val="22"/>
                <w:szCs w:val="22"/>
              </w:rPr>
              <w:t>257,330</w:t>
            </w:r>
          </w:p>
        </w:tc>
        <w:tc>
          <w:tcPr>
            <w:tcW w:w="540" w:type="dxa"/>
          </w:tcPr>
          <w:p w:rsidR="004B056A" w:rsidRPr="004B056A" w:rsidRDefault="004B056A" w:rsidP="004B056A">
            <w:pPr>
              <w:rPr>
                <w:sz w:val="22"/>
                <w:szCs w:val="22"/>
              </w:rPr>
            </w:pPr>
          </w:p>
        </w:tc>
        <w:tc>
          <w:tcPr>
            <w:tcW w:w="2493" w:type="dxa"/>
          </w:tcPr>
          <w:p w:rsidR="004B056A" w:rsidRPr="004B056A" w:rsidRDefault="004B056A" w:rsidP="004B056A">
            <w:pPr>
              <w:rPr>
                <w:sz w:val="22"/>
                <w:szCs w:val="22"/>
              </w:rPr>
            </w:pPr>
          </w:p>
        </w:tc>
        <w:tc>
          <w:tcPr>
            <w:tcW w:w="1467" w:type="dxa"/>
          </w:tcPr>
          <w:p w:rsidR="004B056A" w:rsidRPr="004B056A" w:rsidRDefault="004B056A" w:rsidP="004B056A">
            <w:pPr>
              <w:jc w:val="right"/>
              <w:rPr>
                <w:sz w:val="22"/>
                <w:szCs w:val="22"/>
              </w:rPr>
            </w:pPr>
          </w:p>
        </w:tc>
      </w:tr>
    </w:tbl>
    <w:p w:rsidR="004B056A" w:rsidRPr="004B056A" w:rsidRDefault="004B056A" w:rsidP="004B056A">
      <w:pPr>
        <w:rPr>
          <w:rFonts w:eastAsiaTheme="minorEastAsia" w:cs="Arial"/>
          <w:b/>
          <w:sz w:val="22"/>
          <w:szCs w:val="22"/>
        </w:rPr>
      </w:pPr>
    </w:p>
    <w:p w:rsidR="004B056A" w:rsidRDefault="004B056A">
      <w:pPr>
        <w:spacing w:after="200" w:line="276" w:lineRule="auto"/>
        <w:rPr>
          <w:rFonts w:eastAsiaTheme="minorEastAsia" w:cs="Arial"/>
          <w:b/>
        </w:rPr>
      </w:pPr>
      <w:r>
        <w:rPr>
          <w:rFonts w:cs="Arial"/>
          <w:b/>
        </w:rPr>
        <w:br w:type="page"/>
      </w:r>
    </w:p>
    <w:p w:rsidR="002938EC" w:rsidRDefault="002938EC" w:rsidP="002938EC">
      <w:pPr>
        <w:pStyle w:val="NoSpacing"/>
        <w:jc w:val="center"/>
        <w:rPr>
          <w:rFonts w:ascii="Arial" w:hAnsi="Arial" w:cs="Arial"/>
          <w:b/>
          <w:i/>
          <w:sz w:val="28"/>
          <w:szCs w:val="28"/>
        </w:rPr>
      </w:pPr>
      <w:r w:rsidRPr="00000DDF">
        <w:rPr>
          <w:rFonts w:ascii="Arial" w:hAnsi="Arial" w:cs="Arial"/>
          <w:b/>
          <w:i/>
          <w:sz w:val="28"/>
          <w:szCs w:val="28"/>
        </w:rPr>
        <w:lastRenderedPageBreak/>
        <w:t xml:space="preserve">TABLE </w:t>
      </w:r>
      <w:r>
        <w:rPr>
          <w:rFonts w:ascii="Arial" w:hAnsi="Arial" w:cs="Arial"/>
          <w:b/>
          <w:i/>
          <w:sz w:val="28"/>
          <w:szCs w:val="28"/>
        </w:rPr>
        <w:t>2</w:t>
      </w:r>
    </w:p>
    <w:p w:rsidR="002938EC" w:rsidRPr="00000DDF" w:rsidRDefault="002938EC" w:rsidP="002938EC">
      <w:pPr>
        <w:pStyle w:val="NoSpacing"/>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for</w:t>
      </w:r>
      <w:proofErr w:type="gramEnd"/>
      <w:r>
        <w:rPr>
          <w:rFonts w:ascii="Arial" w:hAnsi="Arial" w:cs="Arial"/>
          <w:b/>
          <w:sz w:val="24"/>
          <w:szCs w:val="24"/>
        </w:rPr>
        <w:t xml:space="preserve"> questions </w:t>
      </w:r>
      <w:r w:rsidR="005D63F4">
        <w:rPr>
          <w:rFonts w:ascii="Arial" w:hAnsi="Arial" w:cs="Arial"/>
          <w:b/>
          <w:sz w:val="24"/>
          <w:szCs w:val="24"/>
        </w:rPr>
        <w:t>58</w:t>
      </w:r>
      <w:r>
        <w:rPr>
          <w:rFonts w:ascii="Arial" w:hAnsi="Arial" w:cs="Arial"/>
          <w:b/>
          <w:sz w:val="24"/>
          <w:szCs w:val="24"/>
        </w:rPr>
        <w:t xml:space="preserve"> through 80)</w:t>
      </w:r>
    </w:p>
    <w:p w:rsidR="002938EC" w:rsidRPr="00000DDF" w:rsidRDefault="002938EC" w:rsidP="002938EC">
      <w:pPr>
        <w:pStyle w:val="NoSpacing"/>
        <w:jc w:val="both"/>
        <w:rPr>
          <w:rFonts w:ascii="Arial" w:hAnsi="Arial" w:cs="Arial"/>
          <w:sz w:val="16"/>
          <w:szCs w:val="16"/>
        </w:rPr>
      </w:pPr>
    </w:p>
    <w:p w:rsidR="002938EC" w:rsidRDefault="002938EC" w:rsidP="002938EC">
      <w:pPr>
        <w:pStyle w:val="NoSpacing"/>
        <w:jc w:val="both"/>
        <w:rPr>
          <w:rFonts w:ascii="Arial" w:hAnsi="Arial" w:cs="Arial"/>
          <w:sz w:val="24"/>
          <w:szCs w:val="24"/>
        </w:rPr>
      </w:pPr>
      <w:r>
        <w:rPr>
          <w:rFonts w:ascii="Arial" w:hAnsi="Arial" w:cs="Arial"/>
          <w:sz w:val="24"/>
          <w:szCs w:val="24"/>
        </w:rPr>
        <w:t>Gary Davis and Larry Morris are Certified Financial Planners and each holds a Series 7 license enabling them to provide financial consulting and to sell various types of mutual funds, annuities, stocks and bonds.  Gary and Larry have decided to join forces and go into business together.  They do not wish to form a partnership; therefore, they have agreed to form a closely-held corporation called Money Matters, Inc.  (In the following narrative, “MM” stands for Money Matters, Inc.)</w:t>
      </w:r>
    </w:p>
    <w:p w:rsidR="002938EC" w:rsidRPr="00000DDF" w:rsidRDefault="002938EC" w:rsidP="002938EC">
      <w:pPr>
        <w:pStyle w:val="NoSpacing"/>
        <w:jc w:val="both"/>
        <w:rPr>
          <w:rFonts w:ascii="Arial" w:hAnsi="Arial" w:cs="Arial"/>
          <w:sz w:val="16"/>
          <w:szCs w:val="16"/>
        </w:rPr>
      </w:pPr>
    </w:p>
    <w:p w:rsidR="002938EC" w:rsidRPr="00CF4DDC" w:rsidRDefault="002938EC" w:rsidP="002938EC">
      <w:pPr>
        <w:pStyle w:val="NoSpacing"/>
        <w:jc w:val="both"/>
        <w:rPr>
          <w:rFonts w:ascii="Arial" w:hAnsi="Arial" w:cs="Arial"/>
          <w:sz w:val="24"/>
          <w:szCs w:val="24"/>
          <w:u w:val="single"/>
        </w:rPr>
      </w:pPr>
      <w:r>
        <w:rPr>
          <w:rFonts w:ascii="Arial" w:hAnsi="Arial" w:cs="Arial"/>
          <w:sz w:val="24"/>
          <w:szCs w:val="24"/>
          <w:u w:val="single"/>
        </w:rPr>
        <w:t>On Jul</w:t>
      </w:r>
      <w:r w:rsidRPr="00CF4DDC">
        <w:rPr>
          <w:rFonts w:ascii="Arial" w:hAnsi="Arial" w:cs="Arial"/>
          <w:sz w:val="24"/>
          <w:szCs w:val="24"/>
          <w:u w:val="single"/>
        </w:rPr>
        <w:t xml:space="preserve">y </w:t>
      </w:r>
      <w:r>
        <w:rPr>
          <w:rFonts w:ascii="Arial" w:hAnsi="Arial" w:cs="Arial"/>
          <w:sz w:val="24"/>
          <w:szCs w:val="24"/>
          <w:u w:val="single"/>
        </w:rPr>
        <w:t>7</w:t>
      </w:r>
      <w:r w:rsidRPr="00CF4DDC">
        <w:rPr>
          <w:rFonts w:ascii="Arial" w:hAnsi="Arial" w:cs="Arial"/>
          <w:sz w:val="24"/>
          <w:szCs w:val="24"/>
          <w:u w:val="single"/>
        </w:rPr>
        <w:t>, 2015</w:t>
      </w:r>
      <w:r>
        <w:rPr>
          <w:rFonts w:ascii="Arial" w:hAnsi="Arial" w:cs="Arial"/>
          <w:sz w:val="24"/>
          <w:szCs w:val="24"/>
          <w:u w:val="single"/>
        </w:rPr>
        <w:t>:</w:t>
      </w:r>
      <w:r w:rsidRPr="00CF4DDC">
        <w:rPr>
          <w:rFonts w:ascii="Arial" w:hAnsi="Arial" w:cs="Arial"/>
          <w:sz w:val="24"/>
          <w:szCs w:val="24"/>
        </w:rPr>
        <w:t xml:space="preserve">  </w:t>
      </w:r>
      <w:r>
        <w:rPr>
          <w:rFonts w:ascii="Arial" w:hAnsi="Arial" w:cs="Arial"/>
          <w:sz w:val="24"/>
          <w:szCs w:val="24"/>
        </w:rPr>
        <w:t>Gary and Larry have agreed upon the following:</w:t>
      </w:r>
    </w:p>
    <w:p w:rsidR="002938EC" w:rsidRDefault="002938EC" w:rsidP="002938EC">
      <w:pPr>
        <w:pStyle w:val="NoSpacing"/>
        <w:numPr>
          <w:ilvl w:val="0"/>
          <w:numId w:val="1"/>
        </w:numPr>
        <w:jc w:val="both"/>
        <w:rPr>
          <w:rFonts w:ascii="Arial" w:hAnsi="Arial" w:cs="Arial"/>
          <w:sz w:val="24"/>
          <w:szCs w:val="24"/>
        </w:rPr>
      </w:pPr>
      <w:r>
        <w:rPr>
          <w:rFonts w:ascii="Arial" w:hAnsi="Arial" w:cs="Arial"/>
          <w:sz w:val="24"/>
          <w:szCs w:val="24"/>
        </w:rPr>
        <w:t>the fiscal year end is December 31</w:t>
      </w:r>
    </w:p>
    <w:p w:rsidR="002938EC" w:rsidRDefault="002938EC" w:rsidP="002938EC">
      <w:pPr>
        <w:pStyle w:val="NoSpacing"/>
        <w:numPr>
          <w:ilvl w:val="0"/>
          <w:numId w:val="1"/>
        </w:numPr>
        <w:jc w:val="both"/>
        <w:rPr>
          <w:rFonts w:ascii="Arial" w:hAnsi="Arial" w:cs="Arial"/>
          <w:sz w:val="24"/>
          <w:szCs w:val="24"/>
        </w:rPr>
      </w:pPr>
      <w:r>
        <w:rPr>
          <w:rFonts w:ascii="Arial" w:hAnsi="Arial" w:cs="Arial"/>
          <w:sz w:val="24"/>
          <w:szCs w:val="24"/>
        </w:rPr>
        <w:t>the accounting method is the accrual method</w:t>
      </w:r>
    </w:p>
    <w:p w:rsidR="002938EC" w:rsidRDefault="002938EC" w:rsidP="002938EC">
      <w:pPr>
        <w:pStyle w:val="NoSpacing"/>
        <w:numPr>
          <w:ilvl w:val="0"/>
          <w:numId w:val="1"/>
        </w:numPr>
        <w:jc w:val="both"/>
        <w:rPr>
          <w:rFonts w:ascii="Arial" w:hAnsi="Arial" w:cs="Arial"/>
          <w:sz w:val="24"/>
          <w:szCs w:val="24"/>
        </w:rPr>
      </w:pPr>
      <w:r>
        <w:rPr>
          <w:rFonts w:ascii="Arial" w:hAnsi="Arial" w:cs="Arial"/>
          <w:sz w:val="24"/>
          <w:szCs w:val="24"/>
        </w:rPr>
        <w:t>adjusting and closing entries will be prepared only at the end of the fiscal year</w:t>
      </w:r>
    </w:p>
    <w:p w:rsidR="002938EC" w:rsidRDefault="002938EC" w:rsidP="002938EC">
      <w:pPr>
        <w:pStyle w:val="NoSpacing"/>
        <w:numPr>
          <w:ilvl w:val="0"/>
          <w:numId w:val="1"/>
        </w:numPr>
        <w:jc w:val="both"/>
        <w:rPr>
          <w:rFonts w:ascii="Arial" w:hAnsi="Arial" w:cs="Arial"/>
          <w:sz w:val="24"/>
          <w:szCs w:val="24"/>
        </w:rPr>
      </w:pPr>
      <w:r>
        <w:rPr>
          <w:rFonts w:ascii="Arial" w:hAnsi="Arial" w:cs="Arial"/>
          <w:sz w:val="24"/>
          <w:szCs w:val="24"/>
        </w:rPr>
        <w:t>use one revenue account called Fees &amp; Commissions Earned</w:t>
      </w:r>
    </w:p>
    <w:p w:rsidR="002938EC" w:rsidRDefault="002938EC" w:rsidP="002938EC">
      <w:pPr>
        <w:pStyle w:val="NoSpacing"/>
        <w:numPr>
          <w:ilvl w:val="0"/>
          <w:numId w:val="1"/>
        </w:numPr>
        <w:jc w:val="both"/>
        <w:rPr>
          <w:rFonts w:ascii="Arial" w:hAnsi="Arial" w:cs="Arial"/>
          <w:sz w:val="24"/>
          <w:szCs w:val="24"/>
        </w:rPr>
      </w:pPr>
      <w:r>
        <w:rPr>
          <w:rFonts w:ascii="Arial" w:hAnsi="Arial" w:cs="Arial"/>
          <w:sz w:val="24"/>
          <w:szCs w:val="24"/>
        </w:rPr>
        <w:t>all supplies and insurance are first recorded in respective asset accounts</w:t>
      </w:r>
    </w:p>
    <w:p w:rsidR="002938EC" w:rsidRDefault="002938EC" w:rsidP="002938EC">
      <w:pPr>
        <w:pStyle w:val="NoSpacing"/>
        <w:numPr>
          <w:ilvl w:val="0"/>
          <w:numId w:val="1"/>
        </w:numPr>
        <w:jc w:val="both"/>
        <w:rPr>
          <w:rFonts w:ascii="Arial" w:hAnsi="Arial" w:cs="Arial"/>
          <w:sz w:val="24"/>
          <w:szCs w:val="24"/>
        </w:rPr>
      </w:pPr>
      <w:r>
        <w:rPr>
          <w:rFonts w:ascii="Arial" w:hAnsi="Arial" w:cs="Arial"/>
          <w:sz w:val="24"/>
          <w:szCs w:val="24"/>
        </w:rPr>
        <w:t>use one combined contra asset account called Accumulated Depreciation</w:t>
      </w:r>
    </w:p>
    <w:p w:rsidR="002938EC" w:rsidRDefault="002938EC" w:rsidP="002938EC">
      <w:pPr>
        <w:pStyle w:val="NoSpacing"/>
        <w:numPr>
          <w:ilvl w:val="0"/>
          <w:numId w:val="1"/>
        </w:numPr>
        <w:jc w:val="both"/>
        <w:rPr>
          <w:rFonts w:ascii="Arial" w:hAnsi="Arial" w:cs="Arial"/>
          <w:sz w:val="24"/>
          <w:szCs w:val="24"/>
        </w:rPr>
      </w:pPr>
      <w:r>
        <w:rPr>
          <w:rFonts w:ascii="Arial" w:hAnsi="Arial" w:cs="Arial"/>
          <w:sz w:val="24"/>
          <w:szCs w:val="24"/>
        </w:rPr>
        <w:t>to hire an attorney to file the necessary forms with the Secretary of the State of Texas to legally form the corporation.  The attorney has agreed to be paid by MM within 30 days of the successful formation of the entity.</w:t>
      </w:r>
    </w:p>
    <w:p w:rsidR="002938EC" w:rsidRDefault="002938EC" w:rsidP="002938EC">
      <w:pPr>
        <w:pStyle w:val="NoSpacing"/>
        <w:numPr>
          <w:ilvl w:val="0"/>
          <w:numId w:val="1"/>
        </w:numPr>
        <w:jc w:val="both"/>
        <w:rPr>
          <w:rFonts w:ascii="Arial" w:hAnsi="Arial" w:cs="Arial"/>
          <w:sz w:val="24"/>
          <w:szCs w:val="24"/>
        </w:rPr>
      </w:pPr>
      <w:r>
        <w:rPr>
          <w:rFonts w:ascii="Arial" w:hAnsi="Arial" w:cs="Arial"/>
          <w:sz w:val="24"/>
          <w:szCs w:val="24"/>
        </w:rPr>
        <w:t>to borrow money to purchase office furniture, computers, and any other start-up expenses using the bank in their office building (that bank uses the 360-day year to calculate interest)</w:t>
      </w:r>
    </w:p>
    <w:p w:rsidR="002938EC" w:rsidRPr="00801241" w:rsidRDefault="002938EC" w:rsidP="002938EC">
      <w:pPr>
        <w:pStyle w:val="NoSpacing"/>
        <w:numPr>
          <w:ilvl w:val="0"/>
          <w:numId w:val="1"/>
        </w:numPr>
        <w:jc w:val="both"/>
        <w:rPr>
          <w:rFonts w:ascii="Arial" w:hAnsi="Arial" w:cs="Arial"/>
          <w:sz w:val="24"/>
          <w:szCs w:val="24"/>
        </w:rPr>
      </w:pPr>
      <w:r>
        <w:rPr>
          <w:rFonts w:ascii="Arial" w:hAnsi="Arial" w:cs="Arial"/>
          <w:sz w:val="24"/>
          <w:szCs w:val="24"/>
        </w:rPr>
        <w:t>neither shareholder will receive any salary or commission in the year 2015</w:t>
      </w:r>
      <w:r w:rsidR="004B0DD3">
        <w:rPr>
          <w:rFonts w:ascii="Arial" w:hAnsi="Arial" w:cs="Arial"/>
          <w:sz w:val="24"/>
          <w:szCs w:val="24"/>
        </w:rPr>
        <w:t>;</w:t>
      </w:r>
      <w:r>
        <w:rPr>
          <w:rFonts w:ascii="Arial" w:hAnsi="Arial" w:cs="Arial"/>
          <w:sz w:val="24"/>
          <w:szCs w:val="24"/>
        </w:rPr>
        <w:t xml:space="preserve"> however</w:t>
      </w:r>
      <w:r w:rsidR="007E0427">
        <w:rPr>
          <w:rFonts w:ascii="Arial" w:hAnsi="Arial" w:cs="Arial"/>
          <w:sz w:val="24"/>
          <w:szCs w:val="24"/>
        </w:rPr>
        <w:t>,</w:t>
      </w:r>
      <w:r>
        <w:rPr>
          <w:rFonts w:ascii="Arial" w:hAnsi="Arial" w:cs="Arial"/>
          <w:sz w:val="24"/>
          <w:szCs w:val="24"/>
        </w:rPr>
        <w:t xml:space="preserve"> they agree to consider declaring a dividend in January 2016</w:t>
      </w:r>
    </w:p>
    <w:p w:rsidR="002938EC" w:rsidRDefault="002938EC" w:rsidP="002938EC">
      <w:pPr>
        <w:pStyle w:val="NoSpacing"/>
        <w:numPr>
          <w:ilvl w:val="0"/>
          <w:numId w:val="1"/>
        </w:numPr>
        <w:jc w:val="both"/>
        <w:rPr>
          <w:rFonts w:ascii="Arial" w:hAnsi="Arial" w:cs="Arial"/>
          <w:sz w:val="24"/>
          <w:szCs w:val="24"/>
        </w:rPr>
      </w:pPr>
      <w:r>
        <w:rPr>
          <w:rFonts w:ascii="Arial" w:hAnsi="Arial" w:cs="Arial"/>
          <w:sz w:val="24"/>
          <w:szCs w:val="24"/>
        </w:rPr>
        <w:t>MM is authorized to issue 10,000 shares common stock with a par value of $100.</w:t>
      </w:r>
    </w:p>
    <w:p w:rsidR="002938EC" w:rsidRPr="00000DDF" w:rsidRDefault="002938EC" w:rsidP="002938EC">
      <w:pPr>
        <w:pStyle w:val="NoSpacing"/>
        <w:jc w:val="both"/>
        <w:rPr>
          <w:rFonts w:ascii="Arial" w:hAnsi="Arial" w:cs="Arial"/>
          <w:sz w:val="16"/>
          <w:szCs w:val="16"/>
        </w:rPr>
      </w:pPr>
    </w:p>
    <w:p w:rsidR="002938EC" w:rsidRPr="00CF4DDC" w:rsidRDefault="002938EC" w:rsidP="002938EC">
      <w:pPr>
        <w:pStyle w:val="NoSpacing"/>
        <w:jc w:val="both"/>
        <w:rPr>
          <w:rFonts w:ascii="Arial" w:hAnsi="Arial" w:cs="Arial"/>
          <w:sz w:val="24"/>
          <w:szCs w:val="24"/>
          <w:u w:val="single"/>
        </w:rPr>
      </w:pPr>
      <w:r>
        <w:rPr>
          <w:rFonts w:ascii="Arial" w:hAnsi="Arial" w:cs="Arial"/>
          <w:sz w:val="24"/>
          <w:szCs w:val="24"/>
          <w:u w:val="single"/>
        </w:rPr>
        <w:t>August</w:t>
      </w:r>
      <w:r w:rsidRPr="00CF4DDC">
        <w:rPr>
          <w:rFonts w:ascii="Arial" w:hAnsi="Arial" w:cs="Arial"/>
          <w:sz w:val="24"/>
          <w:szCs w:val="24"/>
          <w:u w:val="single"/>
        </w:rPr>
        <w:t xml:space="preserve"> </w:t>
      </w:r>
      <w:r>
        <w:rPr>
          <w:rFonts w:ascii="Arial" w:hAnsi="Arial" w:cs="Arial"/>
          <w:sz w:val="24"/>
          <w:szCs w:val="24"/>
          <w:u w:val="single"/>
        </w:rPr>
        <w:t xml:space="preserve">and September </w:t>
      </w:r>
      <w:r w:rsidRPr="00CF4DDC">
        <w:rPr>
          <w:rFonts w:ascii="Arial" w:hAnsi="Arial" w:cs="Arial"/>
          <w:sz w:val="24"/>
          <w:szCs w:val="24"/>
          <w:u w:val="single"/>
        </w:rPr>
        <w:t>2015</w:t>
      </w:r>
    </w:p>
    <w:p w:rsidR="002938EC" w:rsidRDefault="002938EC" w:rsidP="002938EC">
      <w:pPr>
        <w:pStyle w:val="NoSpacing"/>
        <w:numPr>
          <w:ilvl w:val="0"/>
          <w:numId w:val="2"/>
        </w:numPr>
        <w:jc w:val="both"/>
        <w:rPr>
          <w:rFonts w:ascii="Arial" w:hAnsi="Arial" w:cs="Arial"/>
          <w:sz w:val="24"/>
          <w:szCs w:val="24"/>
        </w:rPr>
      </w:pPr>
      <w:r>
        <w:rPr>
          <w:rFonts w:ascii="Arial" w:hAnsi="Arial" w:cs="Arial"/>
          <w:sz w:val="24"/>
          <w:szCs w:val="24"/>
        </w:rPr>
        <w:t xml:space="preserve">MM issued 150 shares of common stock at par to Gary Davis </w:t>
      </w:r>
    </w:p>
    <w:p w:rsidR="002938EC" w:rsidRDefault="002938EC" w:rsidP="002938EC">
      <w:pPr>
        <w:pStyle w:val="NoSpacing"/>
        <w:numPr>
          <w:ilvl w:val="0"/>
          <w:numId w:val="2"/>
        </w:numPr>
        <w:jc w:val="both"/>
        <w:rPr>
          <w:rFonts w:ascii="Arial" w:hAnsi="Arial" w:cs="Arial"/>
          <w:sz w:val="24"/>
          <w:szCs w:val="24"/>
        </w:rPr>
      </w:pPr>
      <w:r>
        <w:rPr>
          <w:rFonts w:ascii="Arial" w:hAnsi="Arial" w:cs="Arial"/>
          <w:sz w:val="24"/>
          <w:szCs w:val="24"/>
        </w:rPr>
        <w:t>MM issued 100 shares of common stock at par to Larry Morris</w:t>
      </w:r>
    </w:p>
    <w:p w:rsidR="002938EC" w:rsidRDefault="002938EC" w:rsidP="002938EC">
      <w:pPr>
        <w:pStyle w:val="NoSpacing"/>
        <w:numPr>
          <w:ilvl w:val="0"/>
          <w:numId w:val="2"/>
        </w:numPr>
        <w:jc w:val="both"/>
        <w:rPr>
          <w:rFonts w:ascii="Arial" w:hAnsi="Arial" w:cs="Arial"/>
          <w:sz w:val="24"/>
          <w:szCs w:val="24"/>
        </w:rPr>
      </w:pPr>
      <w:r>
        <w:rPr>
          <w:rFonts w:ascii="Arial" w:hAnsi="Arial" w:cs="Arial"/>
          <w:sz w:val="24"/>
          <w:szCs w:val="24"/>
        </w:rPr>
        <w:t>Gary and Larry held the first official board meeting of MM and Larry agreed that Gary would be the president of the two-person board, making Gary the overall manager of the company</w:t>
      </w:r>
    </w:p>
    <w:p w:rsidR="002938EC" w:rsidRDefault="002938EC" w:rsidP="002938EC">
      <w:pPr>
        <w:pStyle w:val="NoSpacing"/>
        <w:numPr>
          <w:ilvl w:val="0"/>
          <w:numId w:val="2"/>
        </w:numPr>
        <w:jc w:val="both"/>
        <w:rPr>
          <w:rFonts w:ascii="Arial" w:hAnsi="Arial" w:cs="Arial"/>
          <w:sz w:val="24"/>
          <w:szCs w:val="24"/>
        </w:rPr>
      </w:pPr>
      <w:r>
        <w:rPr>
          <w:rFonts w:ascii="Arial" w:hAnsi="Arial" w:cs="Arial"/>
          <w:sz w:val="24"/>
          <w:szCs w:val="24"/>
        </w:rPr>
        <w:t>MM paid the attorney $1,500 and posted this to Professional Fees Expense.</w:t>
      </w:r>
    </w:p>
    <w:p w:rsidR="002938EC" w:rsidRDefault="002938EC" w:rsidP="002938EC">
      <w:pPr>
        <w:pStyle w:val="NoSpacing"/>
        <w:numPr>
          <w:ilvl w:val="0"/>
          <w:numId w:val="2"/>
        </w:numPr>
        <w:jc w:val="both"/>
        <w:rPr>
          <w:rFonts w:ascii="Arial" w:hAnsi="Arial" w:cs="Arial"/>
          <w:sz w:val="24"/>
          <w:szCs w:val="24"/>
        </w:rPr>
      </w:pPr>
      <w:r>
        <w:rPr>
          <w:rFonts w:ascii="Arial" w:hAnsi="Arial" w:cs="Arial"/>
          <w:sz w:val="24"/>
          <w:szCs w:val="24"/>
        </w:rPr>
        <w:t xml:space="preserve">Gary signed a one-year lease on office space with a lease term beginning on September 1, 2015 and gave the landlord a business check dated September 1 in the amount of $750 for September.  No lease deposit was required.  Each month’s rent will be $750. </w:t>
      </w:r>
    </w:p>
    <w:p w:rsidR="002938EC" w:rsidRDefault="002938EC" w:rsidP="002938EC">
      <w:pPr>
        <w:pStyle w:val="NoSpacing"/>
        <w:numPr>
          <w:ilvl w:val="0"/>
          <w:numId w:val="2"/>
        </w:numPr>
        <w:jc w:val="both"/>
        <w:rPr>
          <w:rFonts w:ascii="Arial" w:hAnsi="Arial" w:cs="Arial"/>
          <w:sz w:val="24"/>
          <w:szCs w:val="24"/>
        </w:rPr>
      </w:pPr>
      <w:r>
        <w:rPr>
          <w:rFonts w:ascii="Arial" w:hAnsi="Arial" w:cs="Arial"/>
          <w:sz w:val="24"/>
          <w:szCs w:val="24"/>
        </w:rPr>
        <w:t>Larry was able to locate used office furniture in excellent condition in August and the seller is asking $9,000.</w:t>
      </w:r>
    </w:p>
    <w:p w:rsidR="002938EC" w:rsidRPr="005E126A" w:rsidRDefault="002938EC" w:rsidP="002938EC">
      <w:pPr>
        <w:pStyle w:val="NoSpacing"/>
        <w:numPr>
          <w:ilvl w:val="0"/>
          <w:numId w:val="2"/>
        </w:numPr>
        <w:jc w:val="both"/>
        <w:rPr>
          <w:rFonts w:ascii="Arial" w:hAnsi="Arial" w:cs="Arial"/>
          <w:sz w:val="24"/>
          <w:szCs w:val="24"/>
        </w:rPr>
      </w:pPr>
      <w:r>
        <w:rPr>
          <w:rFonts w:ascii="Arial" w:hAnsi="Arial" w:cs="Arial"/>
          <w:sz w:val="24"/>
          <w:szCs w:val="24"/>
        </w:rPr>
        <w:t>Larry also researched online the various computer system components they will need for their two offices and for an office manager at an estimated cost of $4,500, but this does not include shipping costs.  They agreed to wait until late September to place the order.</w:t>
      </w:r>
    </w:p>
    <w:p w:rsidR="002938EC" w:rsidRPr="002976F2" w:rsidRDefault="002938EC" w:rsidP="002938EC">
      <w:pPr>
        <w:pStyle w:val="NoSpacing"/>
        <w:numPr>
          <w:ilvl w:val="0"/>
          <w:numId w:val="4"/>
        </w:numPr>
        <w:jc w:val="both"/>
        <w:rPr>
          <w:rFonts w:ascii="Arial" w:hAnsi="Arial" w:cs="Arial"/>
          <w:sz w:val="24"/>
          <w:szCs w:val="24"/>
          <w:u w:val="single"/>
        </w:rPr>
      </w:pPr>
      <w:r>
        <w:rPr>
          <w:rFonts w:ascii="Arial" w:hAnsi="Arial" w:cs="Arial"/>
          <w:sz w:val="24"/>
          <w:szCs w:val="24"/>
        </w:rPr>
        <w:t>As president of MM, Gary purchased a 12-month insurance policy covering any and all contents owned by MM located in the leased office space.  A business check was written on September 1 for $1,380.</w:t>
      </w:r>
    </w:p>
    <w:p w:rsidR="002938EC" w:rsidRDefault="002938EC" w:rsidP="002938EC">
      <w:pPr>
        <w:pStyle w:val="NoSpacing"/>
        <w:jc w:val="both"/>
        <w:rPr>
          <w:rFonts w:ascii="Arial" w:hAnsi="Arial" w:cs="Arial"/>
          <w:sz w:val="24"/>
          <w:szCs w:val="24"/>
        </w:rPr>
      </w:pPr>
    </w:p>
    <w:p w:rsidR="002938EC" w:rsidRPr="008E29CA" w:rsidRDefault="002938EC" w:rsidP="002938EC">
      <w:pPr>
        <w:pStyle w:val="NoSpacing"/>
        <w:ind w:left="360"/>
        <w:jc w:val="both"/>
        <w:rPr>
          <w:rFonts w:ascii="Arial" w:hAnsi="Arial" w:cs="Arial"/>
          <w:sz w:val="24"/>
          <w:szCs w:val="24"/>
          <w:u w:val="single"/>
        </w:rPr>
      </w:pPr>
      <w:r>
        <w:rPr>
          <w:rFonts w:ascii="Arial" w:hAnsi="Arial" w:cs="Arial"/>
          <w:sz w:val="24"/>
          <w:szCs w:val="24"/>
          <w:u w:val="single"/>
        </w:rPr>
        <w:lastRenderedPageBreak/>
        <w:t>August and S</w:t>
      </w:r>
      <w:r w:rsidRPr="008E29CA">
        <w:rPr>
          <w:rFonts w:ascii="Arial" w:hAnsi="Arial" w:cs="Arial"/>
          <w:sz w:val="24"/>
          <w:szCs w:val="24"/>
          <w:u w:val="single"/>
        </w:rPr>
        <w:t>eptember 2015 continued</w:t>
      </w:r>
    </w:p>
    <w:p w:rsidR="002938EC" w:rsidRPr="005E126A" w:rsidRDefault="002938EC" w:rsidP="002938EC">
      <w:pPr>
        <w:pStyle w:val="NoSpacing"/>
        <w:numPr>
          <w:ilvl w:val="0"/>
          <w:numId w:val="3"/>
        </w:numPr>
        <w:jc w:val="both"/>
        <w:rPr>
          <w:rFonts w:ascii="Arial" w:hAnsi="Arial" w:cs="Arial"/>
          <w:sz w:val="24"/>
          <w:szCs w:val="24"/>
        </w:rPr>
      </w:pPr>
      <w:r>
        <w:rPr>
          <w:rFonts w:ascii="Arial" w:hAnsi="Arial" w:cs="Arial"/>
          <w:sz w:val="24"/>
          <w:szCs w:val="24"/>
        </w:rPr>
        <w:t xml:space="preserve">As president of MM, Gary signed a promissory note to the bank on </w:t>
      </w:r>
      <w:r w:rsidR="0031589C">
        <w:rPr>
          <w:rFonts w:ascii="Arial" w:hAnsi="Arial" w:cs="Arial"/>
          <w:sz w:val="24"/>
          <w:szCs w:val="24"/>
        </w:rPr>
        <w:t>9-</w:t>
      </w:r>
      <w:r>
        <w:rPr>
          <w:rFonts w:ascii="Arial" w:hAnsi="Arial" w:cs="Arial"/>
          <w:sz w:val="24"/>
          <w:szCs w:val="24"/>
        </w:rPr>
        <w:t>14</w:t>
      </w:r>
      <w:r w:rsidR="0031589C">
        <w:rPr>
          <w:rFonts w:ascii="Arial" w:hAnsi="Arial" w:cs="Arial"/>
          <w:sz w:val="24"/>
          <w:szCs w:val="24"/>
        </w:rPr>
        <w:t>-</w:t>
      </w:r>
      <w:r>
        <w:rPr>
          <w:rFonts w:ascii="Arial" w:hAnsi="Arial" w:cs="Arial"/>
          <w:sz w:val="24"/>
          <w:szCs w:val="24"/>
        </w:rPr>
        <w:t>15 and MM received a check for $13,500.  The note is interest-bearing at 4% for 120 days.</w:t>
      </w:r>
    </w:p>
    <w:p w:rsidR="002938EC" w:rsidRDefault="002938EC" w:rsidP="002938EC">
      <w:pPr>
        <w:pStyle w:val="NoSpacing"/>
        <w:numPr>
          <w:ilvl w:val="0"/>
          <w:numId w:val="3"/>
        </w:numPr>
        <w:jc w:val="both"/>
        <w:rPr>
          <w:rFonts w:ascii="Arial" w:hAnsi="Arial" w:cs="Arial"/>
          <w:sz w:val="24"/>
          <w:szCs w:val="24"/>
        </w:rPr>
      </w:pPr>
      <w:r>
        <w:rPr>
          <w:rFonts w:ascii="Arial" w:hAnsi="Arial" w:cs="Arial"/>
          <w:sz w:val="24"/>
          <w:szCs w:val="24"/>
        </w:rPr>
        <w:t xml:space="preserve">On September 26, the business purchased by check the used office furniture (which Larry had located in August) at a negotiated price of $8,600 FOB Destination.  The furniture is expected to last 5 years and be worth only $500 at the end of that time period.  </w:t>
      </w:r>
    </w:p>
    <w:p w:rsidR="002938EC" w:rsidRDefault="002938EC" w:rsidP="002938EC">
      <w:pPr>
        <w:pStyle w:val="NoSpacing"/>
        <w:numPr>
          <w:ilvl w:val="0"/>
          <w:numId w:val="3"/>
        </w:numPr>
        <w:jc w:val="both"/>
        <w:rPr>
          <w:rFonts w:ascii="Arial" w:hAnsi="Arial" w:cs="Arial"/>
          <w:sz w:val="24"/>
          <w:szCs w:val="24"/>
        </w:rPr>
      </w:pPr>
      <w:r>
        <w:rPr>
          <w:rFonts w:ascii="Arial" w:hAnsi="Arial" w:cs="Arial"/>
          <w:sz w:val="24"/>
          <w:szCs w:val="24"/>
        </w:rPr>
        <w:t>On September 30, the business purchased office supplies from a local supplier at a cost of $2,460 paid for by a MM check.  Larry estimates this will last at least six months.</w:t>
      </w:r>
    </w:p>
    <w:p w:rsidR="002938EC" w:rsidRPr="00000DDF" w:rsidRDefault="002938EC" w:rsidP="002938EC">
      <w:pPr>
        <w:pStyle w:val="NoSpacing"/>
        <w:jc w:val="both"/>
        <w:rPr>
          <w:rFonts w:ascii="Arial" w:hAnsi="Arial" w:cs="Arial"/>
          <w:sz w:val="16"/>
          <w:szCs w:val="16"/>
        </w:rPr>
      </w:pPr>
    </w:p>
    <w:p w:rsidR="002938EC" w:rsidRPr="005E126A" w:rsidRDefault="002938EC" w:rsidP="002938EC">
      <w:pPr>
        <w:pStyle w:val="NoSpacing"/>
        <w:jc w:val="both"/>
        <w:rPr>
          <w:rFonts w:ascii="Arial" w:hAnsi="Arial" w:cs="Arial"/>
          <w:sz w:val="24"/>
          <w:szCs w:val="24"/>
          <w:u w:val="single"/>
        </w:rPr>
      </w:pPr>
      <w:r w:rsidRPr="005E126A">
        <w:rPr>
          <w:rFonts w:ascii="Arial" w:hAnsi="Arial" w:cs="Arial"/>
          <w:sz w:val="24"/>
          <w:szCs w:val="24"/>
          <w:u w:val="single"/>
        </w:rPr>
        <w:t>October 2015</w:t>
      </w:r>
    </w:p>
    <w:p w:rsidR="002938EC" w:rsidRDefault="002938EC" w:rsidP="002938EC">
      <w:pPr>
        <w:pStyle w:val="NoSpacing"/>
        <w:numPr>
          <w:ilvl w:val="0"/>
          <w:numId w:val="5"/>
        </w:numPr>
        <w:jc w:val="both"/>
        <w:rPr>
          <w:rFonts w:ascii="Arial" w:hAnsi="Arial" w:cs="Arial"/>
          <w:sz w:val="24"/>
          <w:szCs w:val="24"/>
        </w:rPr>
      </w:pPr>
      <w:r>
        <w:rPr>
          <w:rFonts w:ascii="Arial" w:hAnsi="Arial" w:cs="Arial"/>
          <w:sz w:val="24"/>
          <w:szCs w:val="24"/>
        </w:rPr>
        <w:t xml:space="preserve">On October 1 </w:t>
      </w:r>
      <w:r w:rsidR="00781741">
        <w:rPr>
          <w:rFonts w:ascii="Arial" w:hAnsi="Arial" w:cs="Arial"/>
          <w:sz w:val="24"/>
          <w:szCs w:val="24"/>
        </w:rPr>
        <w:t>the business</w:t>
      </w:r>
      <w:r>
        <w:rPr>
          <w:rFonts w:ascii="Arial" w:hAnsi="Arial" w:cs="Arial"/>
          <w:sz w:val="24"/>
          <w:szCs w:val="24"/>
        </w:rPr>
        <w:t xml:space="preserve"> paid</w:t>
      </w:r>
      <w:r w:rsidR="00781741">
        <w:rPr>
          <w:rFonts w:ascii="Arial" w:hAnsi="Arial" w:cs="Arial"/>
          <w:sz w:val="24"/>
          <w:szCs w:val="24"/>
        </w:rPr>
        <w:t xml:space="preserve"> by check</w:t>
      </w:r>
      <w:r>
        <w:rPr>
          <w:rFonts w:ascii="Arial" w:hAnsi="Arial" w:cs="Arial"/>
          <w:sz w:val="24"/>
          <w:szCs w:val="24"/>
        </w:rPr>
        <w:t xml:space="preserve"> an insurance premium in the amount of $3,780 for liability coverage for a 12-month period.</w:t>
      </w:r>
    </w:p>
    <w:p w:rsidR="002938EC" w:rsidRDefault="002938EC" w:rsidP="002938EC">
      <w:pPr>
        <w:pStyle w:val="NoSpacing"/>
        <w:numPr>
          <w:ilvl w:val="0"/>
          <w:numId w:val="5"/>
        </w:numPr>
        <w:jc w:val="both"/>
        <w:rPr>
          <w:rFonts w:ascii="Arial" w:hAnsi="Arial" w:cs="Arial"/>
          <w:sz w:val="24"/>
          <w:szCs w:val="24"/>
        </w:rPr>
      </w:pPr>
      <w:r>
        <w:rPr>
          <w:rFonts w:ascii="Arial" w:hAnsi="Arial" w:cs="Arial"/>
          <w:sz w:val="24"/>
          <w:szCs w:val="24"/>
        </w:rPr>
        <w:t>On October 1 the computer equipment arrived and was successfully installed.  On this day an electronic payment was made from the MM checking account to the computer supplier in the amount of $4,800.  Larry estimates the salvage value to be $750 at the end of an estimated useful life of 5 years.</w:t>
      </w:r>
    </w:p>
    <w:p w:rsidR="002938EC" w:rsidRPr="00000DDF" w:rsidRDefault="002938EC" w:rsidP="002938EC">
      <w:pPr>
        <w:pStyle w:val="NoSpacing"/>
        <w:jc w:val="both"/>
        <w:rPr>
          <w:rFonts w:ascii="Arial" w:hAnsi="Arial" w:cs="Arial"/>
          <w:sz w:val="16"/>
          <w:szCs w:val="16"/>
        </w:rPr>
      </w:pPr>
    </w:p>
    <w:p w:rsidR="002938EC" w:rsidRPr="008E29CA" w:rsidRDefault="002938EC" w:rsidP="002938EC">
      <w:pPr>
        <w:pStyle w:val="NoSpacing"/>
        <w:jc w:val="both"/>
        <w:rPr>
          <w:rFonts w:ascii="Arial" w:hAnsi="Arial" w:cs="Arial"/>
          <w:b/>
          <w:sz w:val="24"/>
          <w:szCs w:val="24"/>
          <w:u w:val="single"/>
        </w:rPr>
      </w:pPr>
      <w:r w:rsidRPr="008E29CA">
        <w:rPr>
          <w:rFonts w:ascii="Arial" w:hAnsi="Arial" w:cs="Arial"/>
          <w:b/>
          <w:sz w:val="24"/>
          <w:szCs w:val="24"/>
          <w:u w:val="single"/>
        </w:rPr>
        <w:t>Below is a summary of all the transactions that occurred from October 2, 2015 through December 31, 2015.</w:t>
      </w:r>
    </w:p>
    <w:p w:rsidR="002938EC" w:rsidRDefault="002938EC" w:rsidP="002938EC">
      <w:pPr>
        <w:pStyle w:val="NoSpacing"/>
        <w:jc w:val="both"/>
        <w:rPr>
          <w:rFonts w:ascii="Arial" w:hAnsi="Arial" w:cs="Arial"/>
          <w:sz w:val="24"/>
          <w:szCs w:val="24"/>
        </w:rPr>
      </w:pPr>
    </w:p>
    <w:p w:rsidR="002938EC" w:rsidRDefault="002938EC" w:rsidP="002938EC">
      <w:pPr>
        <w:pStyle w:val="NoSpacing"/>
        <w:numPr>
          <w:ilvl w:val="0"/>
          <w:numId w:val="5"/>
        </w:numPr>
        <w:jc w:val="both"/>
        <w:rPr>
          <w:rFonts w:ascii="Arial" w:hAnsi="Arial" w:cs="Arial"/>
          <w:sz w:val="24"/>
          <w:szCs w:val="24"/>
        </w:rPr>
      </w:pPr>
      <w:r>
        <w:rPr>
          <w:rFonts w:ascii="Arial" w:hAnsi="Arial" w:cs="Arial"/>
          <w:sz w:val="24"/>
          <w:szCs w:val="24"/>
        </w:rPr>
        <w:t>fees earned from clients who paid by check $16,520</w:t>
      </w:r>
    </w:p>
    <w:p w:rsidR="002938EC" w:rsidRDefault="002938EC" w:rsidP="002938EC">
      <w:pPr>
        <w:pStyle w:val="NoSpacing"/>
        <w:numPr>
          <w:ilvl w:val="0"/>
          <w:numId w:val="5"/>
        </w:numPr>
        <w:jc w:val="both"/>
        <w:rPr>
          <w:rFonts w:ascii="Arial" w:hAnsi="Arial" w:cs="Arial"/>
          <w:sz w:val="24"/>
          <w:szCs w:val="24"/>
        </w:rPr>
      </w:pPr>
      <w:r>
        <w:rPr>
          <w:rFonts w:ascii="Arial" w:hAnsi="Arial" w:cs="Arial"/>
          <w:sz w:val="24"/>
          <w:szCs w:val="24"/>
        </w:rPr>
        <w:t>commissions earned from the sale of investments and payment received $13,070</w:t>
      </w:r>
    </w:p>
    <w:p w:rsidR="002938EC" w:rsidRDefault="002938EC" w:rsidP="002938EC">
      <w:pPr>
        <w:pStyle w:val="NoSpacing"/>
        <w:numPr>
          <w:ilvl w:val="0"/>
          <w:numId w:val="5"/>
        </w:numPr>
        <w:jc w:val="both"/>
        <w:rPr>
          <w:rFonts w:ascii="Arial" w:hAnsi="Arial" w:cs="Arial"/>
          <w:sz w:val="24"/>
          <w:szCs w:val="24"/>
        </w:rPr>
      </w:pPr>
      <w:r>
        <w:rPr>
          <w:rFonts w:ascii="Arial" w:hAnsi="Arial" w:cs="Arial"/>
          <w:sz w:val="24"/>
          <w:szCs w:val="24"/>
        </w:rPr>
        <w:t>fees earned from clients who paid by using their bank credit card $1,250</w:t>
      </w:r>
    </w:p>
    <w:p w:rsidR="002938EC" w:rsidRDefault="002938EC" w:rsidP="002938EC">
      <w:pPr>
        <w:pStyle w:val="NoSpacing"/>
        <w:numPr>
          <w:ilvl w:val="0"/>
          <w:numId w:val="5"/>
        </w:numPr>
        <w:jc w:val="both"/>
        <w:rPr>
          <w:rFonts w:ascii="Arial" w:hAnsi="Arial" w:cs="Arial"/>
          <w:sz w:val="24"/>
          <w:szCs w:val="24"/>
        </w:rPr>
      </w:pPr>
      <w:r>
        <w:rPr>
          <w:rFonts w:ascii="Arial" w:hAnsi="Arial" w:cs="Arial"/>
          <w:sz w:val="24"/>
          <w:szCs w:val="24"/>
        </w:rPr>
        <w:t>fees earned this year from clients who will pay in the future $725</w:t>
      </w:r>
    </w:p>
    <w:p w:rsidR="002938EC" w:rsidRDefault="002938EC" w:rsidP="002938EC">
      <w:pPr>
        <w:pStyle w:val="NoSpacing"/>
        <w:numPr>
          <w:ilvl w:val="0"/>
          <w:numId w:val="5"/>
        </w:numPr>
        <w:jc w:val="both"/>
        <w:rPr>
          <w:rFonts w:ascii="Arial" w:hAnsi="Arial" w:cs="Arial"/>
          <w:sz w:val="24"/>
          <w:szCs w:val="24"/>
        </w:rPr>
      </w:pPr>
      <w:r>
        <w:rPr>
          <w:rFonts w:ascii="Arial" w:hAnsi="Arial" w:cs="Arial"/>
          <w:sz w:val="24"/>
          <w:szCs w:val="24"/>
        </w:rPr>
        <w:t>commissions earned this year that will be received in the future $2,130</w:t>
      </w:r>
    </w:p>
    <w:p w:rsidR="002938EC" w:rsidRPr="008E29CA" w:rsidRDefault="002938EC" w:rsidP="002938EC">
      <w:pPr>
        <w:pStyle w:val="NoSpacing"/>
        <w:numPr>
          <w:ilvl w:val="0"/>
          <w:numId w:val="5"/>
        </w:numPr>
        <w:jc w:val="both"/>
        <w:rPr>
          <w:rFonts w:ascii="Arial" w:hAnsi="Arial" w:cs="Arial"/>
          <w:sz w:val="24"/>
          <w:szCs w:val="24"/>
        </w:rPr>
      </w:pPr>
      <w:r>
        <w:rPr>
          <w:rFonts w:ascii="Arial" w:hAnsi="Arial" w:cs="Arial"/>
          <w:sz w:val="24"/>
          <w:szCs w:val="24"/>
        </w:rPr>
        <w:t>collections on account from clients and other companies $1,225</w:t>
      </w:r>
    </w:p>
    <w:p w:rsidR="002938EC" w:rsidRDefault="002938EC" w:rsidP="002938EC">
      <w:pPr>
        <w:pStyle w:val="NoSpacing"/>
        <w:numPr>
          <w:ilvl w:val="0"/>
          <w:numId w:val="5"/>
        </w:numPr>
        <w:jc w:val="both"/>
        <w:rPr>
          <w:rFonts w:ascii="Arial" w:hAnsi="Arial" w:cs="Arial"/>
          <w:sz w:val="24"/>
          <w:szCs w:val="24"/>
        </w:rPr>
      </w:pPr>
      <w:r>
        <w:rPr>
          <w:rFonts w:ascii="Arial" w:hAnsi="Arial" w:cs="Arial"/>
          <w:sz w:val="24"/>
          <w:szCs w:val="24"/>
        </w:rPr>
        <w:t>bought additional office supplies and paid by check $815</w:t>
      </w:r>
    </w:p>
    <w:p w:rsidR="002938EC" w:rsidRPr="008E29CA" w:rsidRDefault="002938EC" w:rsidP="002938EC">
      <w:pPr>
        <w:pStyle w:val="NoSpacing"/>
        <w:numPr>
          <w:ilvl w:val="0"/>
          <w:numId w:val="5"/>
        </w:numPr>
        <w:jc w:val="both"/>
        <w:rPr>
          <w:rFonts w:ascii="Arial" w:hAnsi="Arial" w:cs="Arial"/>
          <w:sz w:val="24"/>
          <w:szCs w:val="24"/>
        </w:rPr>
      </w:pPr>
      <w:r>
        <w:rPr>
          <w:rFonts w:ascii="Arial" w:hAnsi="Arial" w:cs="Arial"/>
          <w:sz w:val="24"/>
          <w:szCs w:val="24"/>
        </w:rPr>
        <w:t>paid the monthly rent for October, November, and December by issuing checks</w:t>
      </w:r>
    </w:p>
    <w:p w:rsidR="002938EC" w:rsidRDefault="002938EC" w:rsidP="002938EC">
      <w:pPr>
        <w:pStyle w:val="NoSpacing"/>
        <w:numPr>
          <w:ilvl w:val="0"/>
          <w:numId w:val="5"/>
        </w:numPr>
        <w:jc w:val="both"/>
        <w:rPr>
          <w:rFonts w:ascii="Arial" w:hAnsi="Arial" w:cs="Arial"/>
          <w:sz w:val="24"/>
          <w:szCs w:val="24"/>
        </w:rPr>
      </w:pPr>
      <w:r>
        <w:rPr>
          <w:rFonts w:ascii="Arial" w:hAnsi="Arial" w:cs="Arial"/>
          <w:sz w:val="24"/>
          <w:szCs w:val="24"/>
        </w:rPr>
        <w:t xml:space="preserve">wrote several checks to pay the utilities for September through December.  These checks add up to $637. </w:t>
      </w:r>
    </w:p>
    <w:p w:rsidR="002938EC" w:rsidRDefault="002938EC" w:rsidP="002938EC">
      <w:pPr>
        <w:pStyle w:val="NoSpacing"/>
        <w:numPr>
          <w:ilvl w:val="0"/>
          <w:numId w:val="5"/>
        </w:numPr>
        <w:jc w:val="both"/>
        <w:rPr>
          <w:rFonts w:ascii="Arial" w:hAnsi="Arial" w:cs="Arial"/>
          <w:sz w:val="24"/>
          <w:szCs w:val="24"/>
        </w:rPr>
      </w:pPr>
      <w:r>
        <w:rPr>
          <w:rFonts w:ascii="Arial" w:hAnsi="Arial" w:cs="Arial"/>
          <w:sz w:val="24"/>
          <w:szCs w:val="24"/>
        </w:rPr>
        <w:t>incurred various business expenses on account $2,511</w:t>
      </w:r>
    </w:p>
    <w:p w:rsidR="002938EC" w:rsidRDefault="002938EC" w:rsidP="002938EC">
      <w:pPr>
        <w:pStyle w:val="NoSpacing"/>
        <w:numPr>
          <w:ilvl w:val="0"/>
          <w:numId w:val="5"/>
        </w:numPr>
        <w:jc w:val="both"/>
        <w:rPr>
          <w:rFonts w:ascii="Arial" w:hAnsi="Arial" w:cs="Arial"/>
          <w:sz w:val="24"/>
          <w:szCs w:val="24"/>
        </w:rPr>
      </w:pPr>
      <w:r>
        <w:rPr>
          <w:rFonts w:ascii="Arial" w:hAnsi="Arial" w:cs="Arial"/>
          <w:sz w:val="24"/>
          <w:szCs w:val="24"/>
        </w:rPr>
        <w:t>payments on account to vendors $1,100</w:t>
      </w:r>
    </w:p>
    <w:p w:rsidR="002938EC" w:rsidRDefault="002938EC" w:rsidP="002938EC">
      <w:pPr>
        <w:pStyle w:val="NoSpacing"/>
        <w:numPr>
          <w:ilvl w:val="0"/>
          <w:numId w:val="5"/>
        </w:numPr>
        <w:jc w:val="both"/>
        <w:rPr>
          <w:rFonts w:ascii="Arial" w:hAnsi="Arial" w:cs="Arial"/>
          <w:sz w:val="24"/>
          <w:szCs w:val="24"/>
        </w:rPr>
      </w:pPr>
      <w:r>
        <w:rPr>
          <w:rFonts w:ascii="Arial" w:hAnsi="Arial" w:cs="Arial"/>
          <w:sz w:val="24"/>
          <w:szCs w:val="24"/>
        </w:rPr>
        <w:t>On December 30, 2015 a client paid MM $750 for services to be performed in January 2016.  Larry deposited the check and credited Fees &amp; Commissions Earned.</w:t>
      </w:r>
    </w:p>
    <w:p w:rsidR="002938EC" w:rsidRPr="00000DDF" w:rsidRDefault="002938EC" w:rsidP="002938EC">
      <w:pPr>
        <w:pStyle w:val="NoSpacing"/>
        <w:jc w:val="both"/>
        <w:rPr>
          <w:rFonts w:ascii="Arial" w:hAnsi="Arial" w:cs="Arial"/>
          <w:sz w:val="16"/>
          <w:szCs w:val="16"/>
        </w:rPr>
      </w:pPr>
    </w:p>
    <w:p w:rsidR="002938EC" w:rsidRPr="00E41856" w:rsidRDefault="002938EC" w:rsidP="002938EC">
      <w:pPr>
        <w:pStyle w:val="NoSpacing"/>
        <w:jc w:val="both"/>
        <w:rPr>
          <w:rFonts w:ascii="Arial" w:hAnsi="Arial" w:cs="Arial"/>
          <w:b/>
          <w:sz w:val="24"/>
          <w:szCs w:val="24"/>
          <w:u w:val="single"/>
        </w:rPr>
      </w:pPr>
      <w:r w:rsidRPr="00E41856">
        <w:rPr>
          <w:rFonts w:ascii="Arial" w:hAnsi="Arial" w:cs="Arial"/>
          <w:b/>
          <w:sz w:val="24"/>
          <w:szCs w:val="24"/>
          <w:u w:val="single"/>
        </w:rPr>
        <w:t>End-of-Fiscal Year Information:</w:t>
      </w:r>
    </w:p>
    <w:p w:rsidR="002938EC" w:rsidRDefault="002938EC" w:rsidP="002938EC">
      <w:pPr>
        <w:pStyle w:val="NoSpacing"/>
        <w:numPr>
          <w:ilvl w:val="0"/>
          <w:numId w:val="6"/>
        </w:numPr>
        <w:jc w:val="both"/>
        <w:rPr>
          <w:rFonts w:ascii="Arial" w:hAnsi="Arial" w:cs="Arial"/>
          <w:sz w:val="24"/>
          <w:szCs w:val="24"/>
        </w:rPr>
      </w:pPr>
      <w:r>
        <w:rPr>
          <w:rFonts w:ascii="Arial" w:hAnsi="Arial" w:cs="Arial"/>
          <w:sz w:val="24"/>
          <w:szCs w:val="24"/>
        </w:rPr>
        <w:t xml:space="preserve">physical inventory of </w:t>
      </w:r>
      <w:r w:rsidR="0092092C">
        <w:rPr>
          <w:rFonts w:ascii="Arial" w:hAnsi="Arial" w:cs="Arial"/>
          <w:sz w:val="24"/>
          <w:szCs w:val="24"/>
        </w:rPr>
        <w:t xml:space="preserve">office </w:t>
      </w:r>
      <w:r>
        <w:rPr>
          <w:rFonts w:ascii="Arial" w:hAnsi="Arial" w:cs="Arial"/>
          <w:sz w:val="24"/>
          <w:szCs w:val="24"/>
        </w:rPr>
        <w:t>supplies taken on December 31 was $1,940</w:t>
      </w:r>
    </w:p>
    <w:p w:rsidR="002938EC" w:rsidRDefault="002938EC" w:rsidP="002938EC">
      <w:pPr>
        <w:pStyle w:val="NoSpacing"/>
        <w:numPr>
          <w:ilvl w:val="0"/>
          <w:numId w:val="6"/>
        </w:numPr>
        <w:jc w:val="both"/>
        <w:rPr>
          <w:rFonts w:ascii="Arial" w:hAnsi="Arial" w:cs="Arial"/>
          <w:sz w:val="24"/>
          <w:szCs w:val="24"/>
        </w:rPr>
      </w:pPr>
      <w:r>
        <w:rPr>
          <w:rFonts w:ascii="Arial" w:hAnsi="Arial" w:cs="Arial"/>
          <w:sz w:val="24"/>
          <w:szCs w:val="24"/>
        </w:rPr>
        <w:t>The depreciation methods are:</w:t>
      </w:r>
    </w:p>
    <w:p w:rsidR="002938EC" w:rsidRDefault="002938EC" w:rsidP="002938EC">
      <w:pPr>
        <w:pStyle w:val="NoSpacing"/>
        <w:numPr>
          <w:ilvl w:val="1"/>
          <w:numId w:val="6"/>
        </w:numPr>
        <w:jc w:val="both"/>
        <w:rPr>
          <w:rFonts w:ascii="Arial" w:hAnsi="Arial" w:cs="Arial"/>
          <w:sz w:val="24"/>
          <w:szCs w:val="24"/>
        </w:rPr>
      </w:pPr>
      <w:r>
        <w:rPr>
          <w:rFonts w:ascii="Arial" w:hAnsi="Arial" w:cs="Arial"/>
          <w:sz w:val="24"/>
          <w:szCs w:val="24"/>
        </w:rPr>
        <w:t>office furniture straight-line method</w:t>
      </w:r>
    </w:p>
    <w:p w:rsidR="002938EC" w:rsidRPr="00E41856" w:rsidRDefault="002938EC" w:rsidP="002938EC">
      <w:pPr>
        <w:pStyle w:val="NoSpacing"/>
        <w:numPr>
          <w:ilvl w:val="1"/>
          <w:numId w:val="6"/>
        </w:numPr>
        <w:jc w:val="both"/>
        <w:rPr>
          <w:rFonts w:ascii="Arial" w:hAnsi="Arial" w:cs="Arial"/>
          <w:sz w:val="24"/>
          <w:szCs w:val="24"/>
        </w:rPr>
      </w:pPr>
      <w:r>
        <w:rPr>
          <w:rFonts w:ascii="Arial" w:hAnsi="Arial" w:cs="Arial"/>
          <w:sz w:val="24"/>
          <w:szCs w:val="24"/>
        </w:rPr>
        <w:t>computer equipment double-declining balance method</w:t>
      </w:r>
    </w:p>
    <w:p w:rsidR="002938EC" w:rsidRPr="00000DDF" w:rsidRDefault="002938EC" w:rsidP="002938EC">
      <w:pPr>
        <w:pStyle w:val="NoSpacing"/>
        <w:jc w:val="both"/>
        <w:rPr>
          <w:rFonts w:ascii="Arial" w:hAnsi="Arial" w:cs="Arial"/>
          <w:sz w:val="16"/>
          <w:szCs w:val="16"/>
        </w:rPr>
      </w:pPr>
    </w:p>
    <w:p w:rsidR="002938EC" w:rsidRPr="00566432" w:rsidRDefault="002938EC" w:rsidP="002938EC">
      <w:pPr>
        <w:pStyle w:val="NoSpacing"/>
        <w:jc w:val="both"/>
        <w:rPr>
          <w:rFonts w:ascii="Arial" w:hAnsi="Arial" w:cs="Arial"/>
          <w:b/>
          <w:sz w:val="24"/>
          <w:szCs w:val="24"/>
          <w:u w:val="single"/>
        </w:rPr>
      </w:pPr>
      <w:r w:rsidRPr="00566432">
        <w:rPr>
          <w:rFonts w:ascii="Arial" w:hAnsi="Arial" w:cs="Arial"/>
          <w:b/>
          <w:sz w:val="24"/>
          <w:szCs w:val="24"/>
          <w:u w:val="single"/>
        </w:rPr>
        <w:t>January 2016</w:t>
      </w:r>
    </w:p>
    <w:p w:rsidR="00561BAD" w:rsidRPr="008D6F0A" w:rsidRDefault="002938EC" w:rsidP="002938EC">
      <w:pPr>
        <w:pStyle w:val="NoSpacing"/>
        <w:jc w:val="both"/>
        <w:rPr>
          <w:rFonts w:ascii="Arial" w:hAnsi="Arial" w:cs="Arial"/>
          <w:b/>
          <w:sz w:val="24"/>
          <w:szCs w:val="24"/>
        </w:rPr>
      </w:pPr>
      <w:r>
        <w:rPr>
          <w:rFonts w:ascii="Arial" w:hAnsi="Arial" w:cs="Arial"/>
          <w:sz w:val="24"/>
          <w:szCs w:val="24"/>
        </w:rPr>
        <w:t>Gary and Larry reviewed the financial statements for the first year of operations and discussed the topic of declaring dividends.  They agreed to leave $12,500 of the 2015 net profit in the business.</w:t>
      </w:r>
    </w:p>
    <w:sectPr w:rsidR="00561BAD" w:rsidRPr="008D6F0A" w:rsidSect="006675C8">
      <w:headerReference w:type="default" r:id="rId9"/>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4D6" w:rsidRDefault="00E874D6" w:rsidP="006675C8">
      <w:r>
        <w:separator/>
      </w:r>
    </w:p>
  </w:endnote>
  <w:endnote w:type="continuationSeparator" w:id="0">
    <w:p w:rsidR="00E874D6" w:rsidRDefault="00E874D6" w:rsidP="0066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4D6" w:rsidRDefault="00E874D6" w:rsidP="006675C8">
      <w:r>
        <w:separator/>
      </w:r>
    </w:p>
  </w:footnote>
  <w:footnote w:type="continuationSeparator" w:id="0">
    <w:p w:rsidR="00E874D6" w:rsidRDefault="00E874D6" w:rsidP="00667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C6" w:rsidRPr="006675C8" w:rsidRDefault="00F050C6">
    <w:pPr>
      <w:pStyle w:val="Header"/>
      <w:jc w:val="right"/>
      <w:rPr>
        <w:rFonts w:asciiTheme="minorHAnsi" w:hAnsiTheme="minorHAnsi"/>
      </w:rPr>
    </w:pPr>
    <w:r w:rsidRPr="006675C8">
      <w:rPr>
        <w:rFonts w:asciiTheme="minorHAnsi" w:hAnsiTheme="minorHAnsi"/>
      </w:rPr>
      <w:t>UIL Accounting State 2016-S</w:t>
    </w:r>
    <w:r w:rsidRPr="006675C8">
      <w:rPr>
        <w:rFonts w:asciiTheme="minorHAnsi" w:hAnsiTheme="minorHAnsi"/>
      </w:rPr>
      <w:tab/>
    </w:r>
    <w:r w:rsidRPr="006675C8">
      <w:rPr>
        <w:rFonts w:asciiTheme="minorHAnsi" w:hAnsiTheme="minorHAnsi"/>
      </w:rPr>
      <w:tab/>
      <w:t>-</w:t>
    </w:r>
    <w:sdt>
      <w:sdtPr>
        <w:rPr>
          <w:rFonts w:asciiTheme="minorHAnsi" w:hAnsiTheme="minorHAnsi"/>
        </w:rPr>
        <w:id w:val="1303887190"/>
        <w:docPartObj>
          <w:docPartGallery w:val="Page Numbers (Top of Page)"/>
          <w:docPartUnique/>
        </w:docPartObj>
      </w:sdtPr>
      <w:sdtEndPr>
        <w:rPr>
          <w:noProof/>
        </w:rPr>
      </w:sdtEndPr>
      <w:sdtContent>
        <w:r w:rsidRPr="006675C8">
          <w:rPr>
            <w:rFonts w:asciiTheme="minorHAnsi" w:hAnsiTheme="minorHAnsi"/>
          </w:rPr>
          <w:fldChar w:fldCharType="begin"/>
        </w:r>
        <w:r w:rsidRPr="006675C8">
          <w:rPr>
            <w:rFonts w:asciiTheme="minorHAnsi" w:hAnsiTheme="minorHAnsi"/>
          </w:rPr>
          <w:instrText xml:space="preserve"> PAGE   \* MERGEFORMAT </w:instrText>
        </w:r>
        <w:r w:rsidRPr="006675C8">
          <w:rPr>
            <w:rFonts w:asciiTheme="minorHAnsi" w:hAnsiTheme="minorHAnsi"/>
          </w:rPr>
          <w:fldChar w:fldCharType="separate"/>
        </w:r>
        <w:r w:rsidR="00694CC2">
          <w:rPr>
            <w:rFonts w:asciiTheme="minorHAnsi" w:hAnsiTheme="minorHAnsi"/>
            <w:noProof/>
          </w:rPr>
          <w:t>7</w:t>
        </w:r>
        <w:r w:rsidRPr="006675C8">
          <w:rPr>
            <w:rFonts w:asciiTheme="minorHAnsi" w:hAnsiTheme="minorHAnsi"/>
            <w:noProof/>
          </w:rPr>
          <w:fldChar w:fldCharType="end"/>
        </w:r>
        <w:r w:rsidRPr="006675C8">
          <w:rPr>
            <w:rFonts w:asciiTheme="minorHAnsi" w:hAnsiTheme="minorHAnsi"/>
            <w:noProof/>
          </w:rPr>
          <w:t>-</w:t>
        </w:r>
      </w:sdtContent>
    </w:sdt>
  </w:p>
  <w:p w:rsidR="00F050C6" w:rsidRDefault="00F05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FA9"/>
    <w:multiLevelType w:val="hybridMultilevel"/>
    <w:tmpl w:val="4944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64252"/>
    <w:multiLevelType w:val="hybridMultilevel"/>
    <w:tmpl w:val="C2386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11E68"/>
    <w:multiLevelType w:val="hybridMultilevel"/>
    <w:tmpl w:val="42CC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F2AF8"/>
    <w:multiLevelType w:val="hybridMultilevel"/>
    <w:tmpl w:val="5F82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4051E"/>
    <w:multiLevelType w:val="hybridMultilevel"/>
    <w:tmpl w:val="4F80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640528"/>
    <w:multiLevelType w:val="hybridMultilevel"/>
    <w:tmpl w:val="0B26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0A"/>
    <w:rsid w:val="000558D8"/>
    <w:rsid w:val="000B29C3"/>
    <w:rsid w:val="000C3E5D"/>
    <w:rsid w:val="00113BE3"/>
    <w:rsid w:val="00153811"/>
    <w:rsid w:val="001806D3"/>
    <w:rsid w:val="0020341F"/>
    <w:rsid w:val="002938EC"/>
    <w:rsid w:val="0031589C"/>
    <w:rsid w:val="003A5E33"/>
    <w:rsid w:val="004B056A"/>
    <w:rsid w:val="004B0DD3"/>
    <w:rsid w:val="004C4F0C"/>
    <w:rsid w:val="004C7857"/>
    <w:rsid w:val="00561BAD"/>
    <w:rsid w:val="005B4886"/>
    <w:rsid w:val="005D63F4"/>
    <w:rsid w:val="006675C8"/>
    <w:rsid w:val="00694CC2"/>
    <w:rsid w:val="006E348B"/>
    <w:rsid w:val="007349DD"/>
    <w:rsid w:val="007553E8"/>
    <w:rsid w:val="00781741"/>
    <w:rsid w:val="00784922"/>
    <w:rsid w:val="007E0427"/>
    <w:rsid w:val="007F0C45"/>
    <w:rsid w:val="008A6815"/>
    <w:rsid w:val="008D6F0A"/>
    <w:rsid w:val="0092092C"/>
    <w:rsid w:val="009D362A"/>
    <w:rsid w:val="009D78B6"/>
    <w:rsid w:val="00C02F9F"/>
    <w:rsid w:val="00C915B6"/>
    <w:rsid w:val="00CE2AC7"/>
    <w:rsid w:val="00D679C8"/>
    <w:rsid w:val="00E55D1E"/>
    <w:rsid w:val="00E5754F"/>
    <w:rsid w:val="00E874D6"/>
    <w:rsid w:val="00EC3D99"/>
    <w:rsid w:val="00F050C6"/>
    <w:rsid w:val="00FC74E9"/>
    <w:rsid w:val="00FE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1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uiPriority w:val="59"/>
    <w:rsid w:val="0020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675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5C8"/>
    <w:pPr>
      <w:tabs>
        <w:tab w:val="center" w:pos="4680"/>
        <w:tab w:val="right" w:pos="9360"/>
      </w:tabs>
    </w:pPr>
  </w:style>
  <w:style w:type="character" w:customStyle="1" w:styleId="HeaderChar">
    <w:name w:val="Header Char"/>
    <w:basedOn w:val="DefaultParagraphFont"/>
    <w:link w:val="Header"/>
    <w:uiPriority w:val="99"/>
    <w:rsid w:val="006675C8"/>
    <w:rPr>
      <w:rFonts w:ascii="Arial" w:eastAsia="Times New Roman" w:hAnsi="Arial" w:cs="Times New Roman"/>
      <w:sz w:val="24"/>
      <w:szCs w:val="24"/>
    </w:rPr>
  </w:style>
  <w:style w:type="paragraph" w:styleId="Footer">
    <w:name w:val="footer"/>
    <w:basedOn w:val="Normal"/>
    <w:link w:val="FooterChar"/>
    <w:uiPriority w:val="99"/>
    <w:unhideWhenUsed/>
    <w:rsid w:val="006675C8"/>
    <w:pPr>
      <w:tabs>
        <w:tab w:val="center" w:pos="4680"/>
        <w:tab w:val="right" w:pos="9360"/>
      </w:tabs>
    </w:pPr>
  </w:style>
  <w:style w:type="character" w:customStyle="1" w:styleId="FooterChar">
    <w:name w:val="Footer Char"/>
    <w:basedOn w:val="DefaultParagraphFont"/>
    <w:link w:val="Footer"/>
    <w:uiPriority w:val="99"/>
    <w:rsid w:val="006675C8"/>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84922"/>
    <w:rPr>
      <w:rFonts w:ascii="Tahoma" w:hAnsi="Tahoma" w:cs="Tahoma"/>
      <w:sz w:val="16"/>
      <w:szCs w:val="16"/>
    </w:rPr>
  </w:style>
  <w:style w:type="character" w:customStyle="1" w:styleId="BalloonTextChar">
    <w:name w:val="Balloon Text Char"/>
    <w:basedOn w:val="DefaultParagraphFont"/>
    <w:link w:val="BalloonText"/>
    <w:uiPriority w:val="99"/>
    <w:semiHidden/>
    <w:rsid w:val="007849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1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uiPriority w:val="59"/>
    <w:rsid w:val="0020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675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5C8"/>
    <w:pPr>
      <w:tabs>
        <w:tab w:val="center" w:pos="4680"/>
        <w:tab w:val="right" w:pos="9360"/>
      </w:tabs>
    </w:pPr>
  </w:style>
  <w:style w:type="character" w:customStyle="1" w:styleId="HeaderChar">
    <w:name w:val="Header Char"/>
    <w:basedOn w:val="DefaultParagraphFont"/>
    <w:link w:val="Header"/>
    <w:uiPriority w:val="99"/>
    <w:rsid w:val="006675C8"/>
    <w:rPr>
      <w:rFonts w:ascii="Arial" w:eastAsia="Times New Roman" w:hAnsi="Arial" w:cs="Times New Roman"/>
      <w:sz w:val="24"/>
      <w:szCs w:val="24"/>
    </w:rPr>
  </w:style>
  <w:style w:type="paragraph" w:styleId="Footer">
    <w:name w:val="footer"/>
    <w:basedOn w:val="Normal"/>
    <w:link w:val="FooterChar"/>
    <w:uiPriority w:val="99"/>
    <w:unhideWhenUsed/>
    <w:rsid w:val="006675C8"/>
    <w:pPr>
      <w:tabs>
        <w:tab w:val="center" w:pos="4680"/>
        <w:tab w:val="right" w:pos="9360"/>
      </w:tabs>
    </w:pPr>
  </w:style>
  <w:style w:type="character" w:customStyle="1" w:styleId="FooterChar">
    <w:name w:val="Footer Char"/>
    <w:basedOn w:val="DefaultParagraphFont"/>
    <w:link w:val="Footer"/>
    <w:uiPriority w:val="99"/>
    <w:rsid w:val="006675C8"/>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84922"/>
    <w:rPr>
      <w:rFonts w:ascii="Tahoma" w:hAnsi="Tahoma" w:cs="Tahoma"/>
      <w:sz w:val="16"/>
      <w:szCs w:val="16"/>
    </w:rPr>
  </w:style>
  <w:style w:type="character" w:customStyle="1" w:styleId="BalloonTextChar">
    <w:name w:val="Balloon Text Char"/>
    <w:basedOn w:val="DefaultParagraphFont"/>
    <w:link w:val="BalloonText"/>
    <w:uiPriority w:val="99"/>
    <w:semiHidden/>
    <w:rsid w:val="007849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4149A-88A3-4DD4-838E-0238A728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UIL template.dotx</Template>
  <TotalTime>0</TotalTime>
  <Pages>9</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2016-04-13T13:05:00Z</cp:lastPrinted>
  <dcterms:created xsi:type="dcterms:W3CDTF">2016-04-13T15:54:00Z</dcterms:created>
  <dcterms:modified xsi:type="dcterms:W3CDTF">2016-04-13T15:54:00Z</dcterms:modified>
</cp:coreProperties>
</file>